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Adagio Medical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Sio Capital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698,989.00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698,989.00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698,989.00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3.15 %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As of June 30, 2026, Sio Capital Management, LLC beneficially owned 698,989 shares of Common Stock with shared voting power and shared dispositive power. 2 Based upon 22,210,459 Common Shares outstanding as of May 8, 2026, as disclosed by the Issuer's 10-Q on May 12,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0"/>
        <w:gridCol w:w="8900"/>
        <w:gridCol w:w="155"/>
      </w:tblGrid>
      <w:tr>
        <w:trPr/>
        <w:tc>
          <w:tcPr>
            <w:tcW w:w="1150" w:type="dxa"/>
            <w:tcBorders/>
            <w:vAlign w:val="center"/>
          </w:tcPr>
          <w:p>
            <w:pPr>
              <w:pStyle w:val="TableContents"/>
              <w:bidi w:val="0"/>
              <w:spacing w:before="0" w:after="283"/>
              <w:jc w:val="left"/>
              <w:rPr/>
            </w:pPr>
            <w:r>
              <w:rPr/>
              <w:t>Item 1.</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issuer: </w:t>
            </w:r>
          </w:p>
          <w:p>
            <w:pPr>
              <w:pStyle w:val="TableContents"/>
              <w:bidi w:val="0"/>
              <w:spacing w:before="0" w:after="0"/>
              <w:jc w:val="left"/>
              <w:rPr/>
            </w:pPr>
            <w:r>
              <w:rPr/>
              <w:t>Adagio Medical Holdings, Inc.</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26051 Merit Circle, Suite 102, Laguna Hills, CA 92653</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2.</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on behalf of Sio Capital Management, LLC (the "Reporting Person" or "Sio") Sio is a registered investment adviser to certain affiliated funds that directly hold the shares of Common Stock to which this statement relates for the benefit of their respective investors, and in such capacity Sio has voting and dispositive power over such shares.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600 Third Avenue, 2nd Floor New York, New York 10016</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jc w:val="left"/>
              <w:rPr/>
            </w:pPr>
            <w:r>
              <w:rPr/>
              <w:t xml:space="preserve">Citizenship: </w:t>
            </w:r>
          </w:p>
          <w:p>
            <w:pPr>
              <w:pStyle w:val="TableContents"/>
              <w:bidi w:val="0"/>
              <w:spacing w:before="0" w:after="0"/>
              <w:jc w:val="left"/>
              <w:rPr/>
            </w:pPr>
            <w:r>
              <w:rPr/>
              <w:t>Sio is a Delaware limited liability company.</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3.</w:t>
            </w:r>
          </w:p>
        </w:tc>
        <w:tc>
          <w:tcPr>
            <w:tcW w:w="890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(f)</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(g)</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(h)</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(j)</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(k)</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9055" w:type="dxa"/>
            <w:gridSpan w:val="2"/>
            <w:tcBorders/>
            <w:vAlign w:val="center"/>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4.</w:t>
            </w:r>
          </w:p>
        </w:tc>
        <w:tc>
          <w:tcPr>
            <w:tcW w:w="890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698,989</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3.15  %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698,989 - Refer to footnote 3 3 Sio and Sio GP, LLC (the "GP") act as investment advisor and general partner, respectively, to various clients that are the record owners of the Common Stock reported on this Schedule 13G. Because Sio's investment discretion with respect to such clients is subject to oversight by the GP, the GP may be deemed to be the beneficial owner of the Common Stock of the Issuer owned by such clients. In addition, both Sio and the GP are controlled by Michael Castor. As such, he may be deemed to control the voting and dispositive decisions with respect to, and therefore be the beneficial owner of, the shares of Common Stock reported on this Schedule 13G. Neither the filing of this Schedule 13G nor any of its contents shall be deemed to constitute an admission by the GP or Michael Castor that such person is the beneficial owner of any of the equity securities referred to herein for purposes of Section 13(d) of the Exchange Act, or for any other purpose, and such beneficial ownership is expressly disclaimed.</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698,989 - Refer to footnote 3 3 Sio and Sio GP, LLC (the "GP") act as investment advisor and general partner, respectively, to various clients that are the record owners of the Common Stock reported on this Schedule 13G. Because Sio's investment discretion with respect to such clients is subject to oversight by the GP, the GP may be deemed to be the beneficial owner of the Common Stock of the Issuer owned by such clients. In addition, both Sio and the GP are controlled by Michael Castor. As such, he may be deemed to control the voting and dispositive decisions with respect to, and therefore be the beneficial owner of, the shares of Common Stock reported on this Schedule 13G. Neither the filing of this Schedule 13G nor any of its contents shall be deemed to constitute an admission by the GP or Michael Castor that such person is the beneficial owner of any of the equity securities referred to herein for purposes of Section 13(d) of the Exchange Act, or for any other purpose, and such beneficial ownership is expressly disclaimed.</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5.</w:t>
            </w:r>
          </w:p>
        </w:tc>
        <w:tc>
          <w:tcPr>
            <w:tcW w:w="890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6.</w:t>
            </w:r>
          </w:p>
        </w:tc>
        <w:tc>
          <w:tcPr>
            <w:tcW w:w="890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7.</w:t>
            </w:r>
          </w:p>
        </w:tc>
        <w:tc>
          <w:tcPr>
            <w:tcW w:w="890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8.</w:t>
            </w:r>
          </w:p>
        </w:tc>
        <w:tc>
          <w:tcPr>
            <w:tcW w:w="890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9.</w:t>
            </w:r>
          </w:p>
        </w:tc>
        <w:tc>
          <w:tcPr>
            <w:tcW w:w="890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Sio Capital Management, LLC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Jin W. Lee</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1225</Words>
  <Characters>6100</Characters>
  <CharactersWithSpaces>7320</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