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3192d2_8k.htm"/>
      <w:bookmarkStart w:id="1" w:name="kstm2623192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081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ADAGIO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15" w:type="dxa"/>
        <w:jc w:val="left"/>
        <w:tblInd w:w="0" w:type="dxa"/>
        <w:tblLayout w:type="fixed"/>
        <w:tblCellMar>
          <w:top w:w="0" w:type="dxa"/>
          <w:left w:w="0" w:type="dxa"/>
          <w:bottom w:w="0" w:type="dxa"/>
          <w:right w:w="0" w:type="dxa"/>
        </w:tblCellMar>
      </w:tblPr>
      <w:tblGrid>
        <w:gridCol w:w="3590"/>
        <w:gridCol w:w="2210"/>
        <w:gridCol w:w="2915"/>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8_edei--EntityFileNumber_c20260813"/>
            <w:bookmarkEnd w:id="6"/>
            <w:r>
              <w:rPr>
                <w:rFonts w:ascii="Times New Roman;Times;Serif" w:hAnsi="Times New Roman;Times;Serif"/>
                <w:b/>
                <w:sz w:val="20"/>
              </w:rPr>
              <w:t>001-42199</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99-1151466</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26051 Merit Circle, </w:t>
            </w:r>
            <w:bookmarkStart w:id="9" w:name="xdx_901_edei--EntityAddressAddressLine2_"/>
            <w:bookmarkEnd w:id="9"/>
            <w:r>
              <w:rPr>
                <w:rFonts w:ascii="Times New Roman;Times;Serif" w:hAnsi="Times New Roman;Times;Serif"/>
                <w:b/>
                <w:i w:val="false"/>
                <w:caps w:val="false"/>
                <w:smallCaps w:val="false"/>
                <w:sz w:val="20"/>
              </w:rPr>
              <w:t>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Laguna Hills, </w:t>
            </w:r>
            <w:bookmarkStart w:id="11" w:name="xdx_90E_edei--EntityAddressStateOrProvin"/>
            <w:bookmarkEnd w:id="11"/>
            <w:r>
              <w:rPr>
                <w:rFonts w:ascii="Times New Roman;Times;Serif" w:hAnsi="Times New Roman;Times;Serif"/>
                <w:b/>
                <w:i w:val="false"/>
                <w:caps w:val="false"/>
                <w:smallCaps w:val="false"/>
                <w:sz w:val="20"/>
              </w:rPr>
              <w:t>CA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2" w:name="xdx_90F_edei--EntityAddressPostalZipCode"/>
            <w:bookmarkEnd w:id="12"/>
            <w:r>
              <w:rPr>
                <w:rFonts w:ascii="Times New Roman;Times;Serif" w:hAnsi="Times New Roman;Times;Serif"/>
                <w:b/>
                <w:sz w:val="20"/>
              </w:rPr>
              <w:t>92653</w:t>
            </w:r>
          </w:p>
        </w:tc>
      </w:tr>
      <w:tr>
        <w:trPr/>
        <w:tc>
          <w:tcPr>
            <w:tcW w:w="32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4_edei--CityAreaCode_c20260813__20"/>
      <w:bookmarkEnd w:id="13"/>
      <w:r>
        <w:rPr>
          <w:rFonts w:ascii="Times New Roman;Times;Serif" w:hAnsi="Times New Roman;Times;Serif"/>
          <w:b/>
          <w:i w:val="false"/>
          <w:caps w:val="false"/>
          <w:smallCaps w:val="false"/>
          <w:sz w:val="20"/>
        </w:rPr>
        <w:t xml:space="preserve">949) </w:t>
      </w:r>
      <w:bookmarkStart w:id="14" w:name="xdx_90F_edei--LocalPhoneNumber_c20260813"/>
      <w:bookmarkEnd w:id="14"/>
      <w:r>
        <w:rPr>
          <w:rFonts w:ascii="Times New Roman;Times;Serif" w:hAnsi="Times New Roman;Times;Serif"/>
          <w:b/>
          <w:i w:val="false"/>
          <w:caps w:val="false"/>
          <w:smallCaps w:val="false"/>
          <w:sz w:val="20"/>
        </w:rPr>
        <w:t>348-1188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E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9_edei--SolicitingMaterial_c202608"/>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35" w:type="dxa"/>
        <w:jc w:val="left"/>
        <w:tblInd w:w="0" w:type="dxa"/>
        <w:tblLayout w:type="fixed"/>
        <w:tblCellMar>
          <w:top w:w="0" w:type="dxa"/>
          <w:left w:w="0" w:type="dxa"/>
          <w:bottom w:w="0" w:type="dxa"/>
          <w:right w:w="0" w:type="dxa"/>
        </w:tblCellMar>
      </w:tblPr>
      <w:tblGrid>
        <w:gridCol w:w="3620"/>
        <w:gridCol w:w="860"/>
        <w:gridCol w:w="2555"/>
      </w:tblGrid>
      <w:tr>
        <w:trPr/>
        <w:tc>
          <w:tcPr>
            <w:tcW w:w="36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each class</w:t>
            </w:r>
          </w:p>
        </w:tc>
        <w:tc>
          <w:tcPr>
            <w:tcW w:w="8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3620" w:type="dxa"/>
            <w:tcBorders/>
            <w:vAlign w:val="center"/>
          </w:tcPr>
          <w:p>
            <w:pPr>
              <w:pStyle w:val="TableContents"/>
              <w:bidi w:val="0"/>
              <w:spacing w:before="0" w:after="283"/>
              <w:jc w:val="left"/>
              <w:rPr>
                <w:rFonts w:ascii="Times New Roman;Times;Serif" w:hAnsi="Times New Roman;Times;Serif"/>
                <w:sz w:val="20"/>
              </w:rPr>
            </w:pPr>
            <w:bookmarkStart w:id="19" w:name="xdx_905_edei--Security12bTitle_c20260813"/>
            <w:bookmarkEnd w:id="19"/>
            <w:r>
              <w:rPr>
                <w:rFonts w:ascii="Times New Roman;Times;Serif" w:hAnsi="Times New Roman;Times;Serif"/>
                <w:sz w:val="20"/>
              </w:rPr>
              <w:t>Common Stock, par value $0.0001 per share</w:t>
            </w:r>
          </w:p>
        </w:tc>
        <w:tc>
          <w:tcPr>
            <w:tcW w:w="860" w:type="dxa"/>
            <w:tcBorders/>
            <w:vAlign w:val="center"/>
          </w:tcPr>
          <w:p>
            <w:pPr>
              <w:pStyle w:val="TableContents"/>
              <w:bidi w:val="0"/>
              <w:spacing w:before="0" w:after="283"/>
              <w:jc w:val="center"/>
              <w:rPr>
                <w:rFonts w:ascii="Times New Roman;Times;Serif" w:hAnsi="Times New Roman;Times;Serif"/>
                <w:sz w:val="20"/>
              </w:rPr>
            </w:pPr>
            <w:bookmarkStart w:id="20" w:name="xdx_90C_edei--TradingSymbol_c20260813__2"/>
            <w:bookmarkEnd w:id="20"/>
            <w:r>
              <w:rPr>
                <w:rFonts w:ascii="Times New Roman;Times;Serif" w:hAnsi="Times New Roman;Times;Serif"/>
                <w:sz w:val="20"/>
              </w:rPr>
              <w:t>ADGM</w:t>
            </w:r>
          </w:p>
        </w:tc>
        <w:tc>
          <w:tcPr>
            <w:tcW w:w="2555" w:type="dxa"/>
            <w:tcBorders/>
            <w:vAlign w:val="center"/>
          </w:tcPr>
          <w:p>
            <w:pPr>
              <w:pStyle w:val="TableContents"/>
              <w:bidi w:val="0"/>
              <w:spacing w:before="0" w:after="283"/>
              <w:jc w:val="center"/>
              <w:rPr>
                <w:rFonts w:ascii="Times New Roman;Times;Serif" w:hAnsi="Times New Roman;Times;Serif"/>
                <w:sz w:val="20"/>
              </w:rPr>
            </w:pPr>
            <w:bookmarkStart w:id="21" w:name="xdx_906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0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2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3.01. Notice of Delisting or Failure to Satisfy a Continued Listing Rule or Standard; Transfer of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Stockholders’ Equity Requirement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Adagio Medical Holdings, Inc. (the “Company”) received a deficiency letter from the Listing Qualifications Department (the “Staff”) of the Nasdaq Stock Market (“Nasdaq”) notifying the Company that it is not in compliance with the minimum stockholders’ equity requirement for continued listing on the Nasdaq Capital Market. Nasdaq Listing Rule 5550(b)(1) requires companies listed on the Nasdaq Capital Market to maintain stockholders’ equity of at least $2,500,000 (the “Stockholders’ Equity Requirement”). The Company’s Quarterly Report on Form 10-Q for the period ended June 30, 2026, reported stockholders’ equity of $(415,000). As of the date of this Current Report on Form 8-K, the Company does not have a market value of listed securities of $35 million, or net income from continued operations of $500,000 in the most recently completed fiscal year or in two of the last three most recently completed fiscal years, the alternative quantitative standards for continued listing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notification received has no immediate effect on the Company’s continued listing on the Nasdaq Capital Market, subject to the Company’s compliance with the other continued listing requirements. In accordance with Nasdaq rules, the Company has been provided 45 calendar days, but no later than September 28, 2026, to submit a plan to regain compliance (the “Compliance Plan”). If the Compliance Plan is acceptable to the Staff, they may grant an extension of 180 calendar days from the date of the Staff notification to regain compliance with the Stockholders’ Equity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Staff does not accept the Compliance Plan, the Staff will provide written notification to the Company that the Compliance Plan has been rejected. At that time, the Company may appeal the Staff’s determination to a Nasdaq Hearings Panel.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submit the Compliance Plan on or before September 28, 2026, monitor its stockholders’ equity and evaluate further available options to regain compliance with the Stockholders’ Equity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(including within the meaning of Section 21E of the Securities Exchange Act of 1934, as amended, and Section 27A of the Securities Act of 1933, as amended, concerning the Company. These statements may discuss goals, intentions, and expectations as to future plans, trends, events, results of operations or financial condition, or otherwise, based on current beliefs of the management of the Company, as well as assumptions made by, and information currently available to, management of the Company.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the Company’s plan to submit the Compliance Plan on or before September 28, 2026, monitor its stockholders’ equity and evaluate further available options to regain compliance with the Stockholders’ Equity Requirement. All forward-looking statements in this Current Report on Form 8-K are based on the Company’s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risks related to the Company’s ability to regain compliance with Nasdaq listing standards; the Company’s ability to obtain an additional compliance period, if needed; the Company’s ability to take actions that may be required for its continued listing on Nasdaq; the Company’s current liquidity position and the need to obtain additional financing to support ongoing operations; and the Company’s need for additional capital to fund its planned programs and operations and to continue to operate as a going concern. These and other factors that may cause actual results to differ from those expressed or implied are discussed in greater detail in the “Risk Factors” section of the Company’s Annual Report on Form 10-K for the year ended December 31, 2025, filed with the Securities and Exchange Commission (“SEC”) on March 27, 2026, as amended on July 13, 2026, and in other documents filed by the Company from time to time with the SEC, including the Company’s Quarterly Report on Form 10-Q for the quarter ended June 30, 2026, filed with the SEC on August 11, 2026. Except as required by applicable law, the Company undertakes no obligation to revise or update any forward-looking statement, or to make any other forward-looking statements, whether as a result of new information, future events or otherwise. These forward-looking statements should not be relied upon as representing the Company’s views as of any date subsequent to the date of this Current Report on Form 8-K and should not be relied upon as prediction of future events. In light of the foregoing, investors are urged not to rely on any forward-looking statement in reaching any conclusion or making any investment decision about any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650"/>
        <w:gridCol w:w="4100"/>
      </w:tblGrid>
      <w:tr>
        <w:trPr/>
        <w:tc>
          <w:tcPr>
            <w:tcW w:w="75" w:type="dxa"/>
            <w:tcBorders/>
            <w:vAlign w:val="center"/>
          </w:tcPr>
          <w:p>
            <w:pPr>
              <w:pStyle w:val="TableContents"/>
              <w:bidi w:val="0"/>
              <w:spacing w:before="0" w:after="283"/>
              <w:jc w:val="both"/>
              <w:rPr/>
            </w:pPr>
            <w:r>
              <w:rPr/>
              <w:t> </w:t>
            </w:r>
          </w:p>
        </w:tc>
        <w:tc>
          <w:tcPr>
            <w:tcW w:w="4750" w:type="dxa"/>
            <w:gridSpan w:val="2"/>
            <w:tcBorders/>
            <w:vAlign w:val="center"/>
          </w:tcPr>
          <w:p>
            <w:pPr>
              <w:pStyle w:val="TableContents"/>
              <w:bidi w:val="0"/>
              <w:spacing w:before="0" w:after="283"/>
              <w:jc w:val="left"/>
              <w:rPr>
                <w:b/>
              </w:rPr>
            </w:pPr>
            <w:r>
              <w:rPr>
                <w:b/>
              </w:rPr>
              <w:t>Adagio Medical Holdings, Inc.</w:t>
            </w:r>
          </w:p>
        </w:tc>
      </w:tr>
      <w:tr>
        <w:trPr/>
        <w:tc>
          <w:tcPr>
            <w:tcW w:w="75" w:type="dxa"/>
            <w:tcBorders/>
            <w:vAlign w:val="center"/>
          </w:tcPr>
          <w:p>
            <w:pPr>
              <w:pStyle w:val="TableContents"/>
              <w:bidi w:val="0"/>
              <w:spacing w:before="0" w:after="283"/>
              <w:jc w:val="left"/>
              <w:rPr/>
            </w:pPr>
            <w:r>
              <w:rPr/>
              <w:t> </w:t>
            </w:r>
          </w:p>
        </w:tc>
        <w:tc>
          <w:tcPr>
            <w:tcW w:w="47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65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Deborah Kaster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Chief Business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1234</Words>
  <Characters>6823</Characters>
  <CharactersWithSpaces>8057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