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0259d1_10ka.htm"/>
      <w:bookmarkStart w:id="1" w:name="kstm2620259d1_10ka"/>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UNITED STATES </w:t>
      </w:r>
    </w:p>
    <w:p>
      <w:pPr>
        <w:pStyle w:val="TextBody"/>
        <w:bidi w:val="0"/>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i w:val="false"/>
          <w:caps w:val="false"/>
          <w:smallCaps w:val="false"/>
          <w:sz w:val="26"/>
        </w:rPr>
        <w:t>SECURITIES AND EXCHANGE COMMISSION</w:t>
      </w:r>
      <w:r>
        <w:rPr>
          <w:rFonts w:ascii="Times New Roman;Times;Serif" w:hAnsi="Times New Roman;Times;Serif"/>
          <w:b w:val="false"/>
          <w:i w:val="false"/>
          <w:caps w:val="false"/>
          <w:smallCaps w:val="false"/>
          <w:sz w:val="2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i w:val="false"/>
          <w:caps w:val="false"/>
          <w:smallCaps w:val="false"/>
          <w:sz w:val="26"/>
        </w:rPr>
        <w:t xml:space="preserve">FORM </w:t>
      </w:r>
      <w:bookmarkStart w:id="2" w:name="xdx_90E_edei--DocumentType_c20250101__20"/>
      <w:bookmarkEnd w:id="2"/>
      <w:r>
        <w:rPr>
          <w:rFonts w:ascii="Times New Roman;Times;Serif" w:hAnsi="Times New Roman;Times;Serif"/>
          <w:b/>
          <w:i w:val="false"/>
          <w:caps w:val="false"/>
          <w:smallCaps w:val="false"/>
          <w:sz w:val="26"/>
        </w:rPr>
        <w:t>10-K/A</w:t>
      </w:r>
      <w:r>
        <w:rPr>
          <w:rFonts w:ascii="Times New Roman;Times;Serif" w:hAnsi="Times New Roman;Times;Serif"/>
          <w:b w:val="false"/>
          <w:i w:val="false"/>
          <w:caps w:val="false"/>
          <w:smallCaps w:val="false"/>
          <w:sz w:val="2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rFonts w:ascii="Wingdings" w:hAnsi="Wingdings"/>
                <w:b/>
                <w:sz w:val="20"/>
              </w:rPr>
            </w:pPr>
            <w:bookmarkStart w:id="3" w:name="xdx_907_edei--DocumentAnnualReport_c2025"/>
            <w:bookmarkEnd w:id="3"/>
            <w:r>
              <w:rPr>
                <w:rFonts w:ascii="Wingdings" w:hAnsi="Wingdings"/>
                <w:b/>
                <w:sz w:val="20"/>
              </w:rPr>
              <w:t>x</w:t>
            </w:r>
          </w:p>
        </w:tc>
        <w:tc>
          <w:tcPr>
            <w:tcW w:w="94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3_edei--DocumentPeriodEndDate_c202"/>
      <w:bookmarkEnd w:id="4"/>
      <w:r>
        <w:rPr>
          <w:rFonts w:ascii="Times New Roman;Times;Serif" w:hAnsi="Times New Roman;Times;Serif"/>
          <w:b/>
          <w:i w:val="false"/>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bookmarkStart w:id="5" w:name="xdx_90B_edei--DocumentTransitionReport_c"/>
            <w:bookmarkEnd w:id="5"/>
            <w:r>
              <w:rPr/>
              <w:t>☐</w:t>
            </w:r>
          </w:p>
        </w:tc>
        <w:tc>
          <w:tcPr>
            <w:tcW w:w="9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9_edei--EntityFileNumber_c20250101"/>
      <w:bookmarkEnd w:id="6"/>
      <w:r>
        <w:rPr>
          <w:rFonts w:ascii="Times New Roman;Times;Serif" w:hAnsi="Times New Roman;Times;Serif"/>
          <w:b/>
          <w:i w:val="false"/>
          <w:caps w:val="false"/>
          <w:smallCaps w:val="false"/>
          <w:sz w:val="20"/>
        </w:rPr>
        <w:t>001-42199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7" w:name="xdx_909_edei--EntityRegistrantName_c2025"/>
      <w:bookmarkEnd w:id="7"/>
      <w:r>
        <w:rPr>
          <w:rFonts w:ascii="Times New Roman;Times;Serif" w:hAnsi="Times New Roman;Times;Serif"/>
          <w:b/>
          <w:i w:val="false"/>
          <w:caps w:val="false"/>
          <w:smallCaps w:val="false"/>
          <w:sz w:val="36"/>
        </w:rPr>
        <w:t>ADAGIO MEDICAL HOLDINGS,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center"/>
              <w:rPr>
                <w:rFonts w:ascii="Times New Roman;Times;Serif" w:hAnsi="Times New Roman;Times;Serif"/>
                <w:b/>
                <w:sz w:val="20"/>
              </w:rPr>
            </w:pPr>
            <w:bookmarkStart w:id="8" w:name="xdx_900_edei--EntityIncorporationStateCo"/>
            <w:bookmarkEnd w:id="8"/>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9" w:name="xdx_906_edei--EntityTaxIdentificationNum"/>
            <w:bookmarkEnd w:id="9"/>
            <w:r>
              <w:rPr>
                <w:rFonts w:ascii="Times New Roman;Times;Serif" w:hAnsi="Times New Roman;Times;Serif"/>
                <w:b/>
                <w:sz w:val="20"/>
              </w:rPr>
              <w:t>99-1151466</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Identification No.)</w:t>
            </w:r>
          </w:p>
        </w:tc>
      </w:tr>
      <w:tr>
        <w:trPr/>
        <w:tc>
          <w:tcPr>
            <w:tcW w:w="3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bookmarkStart w:id="10" w:name="xdx_90A_edei--EntityAddressAddressLine1_"/>
            <w:bookmarkEnd w:id="10"/>
            <w:r>
              <w:rPr>
                <w:rFonts w:ascii="Times New Roman;Times;Serif" w:hAnsi="Times New Roman;Times;Serif"/>
                <w:b/>
                <w:sz w:val="20"/>
              </w:rPr>
              <w:t xml:space="preserve">26051 Merit Circle, </w:t>
            </w:r>
            <w:bookmarkStart w:id="11" w:name="xdx_908_edei--EntityAddressAddressLine2_"/>
            <w:bookmarkEnd w:id="11"/>
            <w:r>
              <w:rPr>
                <w:rFonts w:ascii="Times New Roman;Times;Serif" w:hAnsi="Times New Roman;Times;Serif"/>
                <w:b/>
                <w:sz w:val="20"/>
              </w:rPr>
              <w:t>Suite 102</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pPr>
            <w:r>
              <w:rPr/>
              <w:t> </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bookmarkStart w:id="12" w:name="xdx_90E_edei--EntityAddressCityOrTown_c2"/>
            <w:bookmarkEnd w:id="12"/>
            <w:r>
              <w:rPr>
                <w:rFonts w:ascii="Times New Roman;Times;Serif" w:hAnsi="Times New Roman;Times;Serif"/>
                <w:b/>
                <w:sz w:val="20"/>
              </w:rPr>
              <w:t xml:space="preserve">Laguna Hills, </w:t>
            </w:r>
            <w:bookmarkStart w:id="13" w:name="xdx_905_edei--EntityAddressStateOrProvin"/>
            <w:bookmarkEnd w:id="13"/>
            <w:r>
              <w:rPr>
                <w:rFonts w:ascii="Times New Roman;Times;Serif" w:hAnsi="Times New Roman;Times;Serif"/>
                <w:b/>
                <w:sz w:val="20"/>
              </w:rPr>
              <w:t>CA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14" w:name="xdx_90B_edei--EntityAddressPostalZipCode"/>
            <w:bookmarkEnd w:id="14"/>
            <w:r>
              <w:rPr>
                <w:rFonts w:ascii="Times New Roman;Times;Serif" w:hAnsi="Times New Roman;Times;Serif"/>
                <w:b/>
                <w:sz w:val="20"/>
              </w:rPr>
              <w:t>92653</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5" w:name="xdx_90D_edei--CityAreaCode_c20250101__20"/>
      <w:bookmarkEnd w:id="15"/>
      <w:r>
        <w:rPr>
          <w:rFonts w:ascii="Times New Roman;Times;Serif" w:hAnsi="Times New Roman;Times;Serif"/>
          <w:b/>
          <w:i w:val="false"/>
          <w:caps w:val="false"/>
          <w:smallCaps w:val="false"/>
          <w:sz w:val="20"/>
        </w:rPr>
        <w:t xml:space="preserve">949) </w:t>
      </w:r>
      <w:bookmarkStart w:id="16" w:name="xdx_906_edei--LocalPhoneNumber_c20250101"/>
      <w:bookmarkEnd w:id="16"/>
      <w:r>
        <w:rPr>
          <w:rFonts w:ascii="Times New Roman;Times;Serif" w:hAnsi="Times New Roman;Times;Serif"/>
          <w:b/>
          <w:i w:val="false"/>
          <w:caps w:val="false"/>
          <w:smallCaps w:val="false"/>
          <w:sz w:val="20"/>
        </w:rPr>
        <w:t>348-1188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(Issuer’s telephone number, including area code)</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3785"/>
        <w:gridCol w:w="60"/>
        <w:gridCol w:w="860"/>
        <w:gridCol w:w="60"/>
        <w:gridCol w:w="2675"/>
      </w:tblGrid>
      <w:tr>
        <w:trPr/>
        <w:tc>
          <w:tcPr>
            <w:tcW w:w="3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r>
          </w:p>
        </w:tc>
        <w:tc>
          <w:tcPr>
            <w:tcW w:w="60" w:type="dxa"/>
            <w:tcBorders/>
            <w:vAlign w:val="center"/>
          </w:tcPr>
          <w:p>
            <w:pPr>
              <w:pStyle w:val="TableContents"/>
              <w:bidi w:val="0"/>
              <w:spacing w:before="0" w:after="283"/>
              <w:jc w:val="center"/>
              <w:rPr/>
            </w:pPr>
            <w:r>
              <w:rPr/>
              <w:t> </w:t>
            </w:r>
          </w:p>
        </w:tc>
        <w:tc>
          <w:tcPr>
            <w:tcW w:w="26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r>
          </w:p>
        </w:tc>
      </w:tr>
      <w:tr>
        <w:trPr/>
        <w:tc>
          <w:tcPr>
            <w:tcW w:w="37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Symbol(s)</w:t>
            </w:r>
          </w:p>
        </w:tc>
        <w:tc>
          <w:tcPr>
            <w:tcW w:w="60" w:type="dxa"/>
            <w:tcBorders/>
            <w:vAlign w:val="center"/>
          </w:tcPr>
          <w:p>
            <w:pPr>
              <w:pStyle w:val="TableContents"/>
              <w:bidi w:val="0"/>
              <w:spacing w:before="0" w:after="283"/>
              <w:jc w:val="center"/>
              <w:rPr/>
            </w:pPr>
            <w:r>
              <w:rPr/>
              <w:t> </w:t>
            </w:r>
          </w:p>
        </w:tc>
        <w:tc>
          <w:tcPr>
            <w:tcW w:w="26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on which registered</w:t>
            </w:r>
          </w:p>
        </w:tc>
      </w:tr>
      <w:tr>
        <w:trPr/>
        <w:tc>
          <w:tcPr>
            <w:tcW w:w="3785" w:type="dxa"/>
            <w:tcBorders/>
            <w:vAlign w:val="center"/>
          </w:tcPr>
          <w:p>
            <w:pPr>
              <w:pStyle w:val="TableContents"/>
              <w:bidi w:val="0"/>
              <w:spacing w:before="0" w:after="283"/>
              <w:jc w:val="center"/>
              <w:rPr>
                <w:rFonts w:ascii="Times New Roman;Times;Serif" w:hAnsi="Times New Roman;Times;Serif"/>
                <w:b/>
                <w:sz w:val="20"/>
              </w:rPr>
            </w:pPr>
            <w:bookmarkStart w:id="17" w:name="xdx_909_edei--Security12bTitle_c20250101"/>
            <w:bookmarkEnd w:id="17"/>
            <w:r>
              <w:rPr>
                <w:rFonts w:ascii="Times New Roman;Times;Serif" w:hAnsi="Times New Roman;Times;Serif"/>
                <w:b/>
                <w:sz w:val="20"/>
              </w:rPr>
              <w:t>Common Stock, par value $0.0001 per share</w:t>
            </w:r>
          </w:p>
        </w:tc>
        <w:tc>
          <w:tcPr>
            <w:tcW w:w="6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rFonts w:ascii="Times New Roman;Times;Serif" w:hAnsi="Times New Roman;Times;Serif"/>
                <w:b/>
                <w:sz w:val="20"/>
              </w:rPr>
            </w:pPr>
            <w:bookmarkStart w:id="18" w:name="xdx_90D_edei--TradingSymbol_c20250101__2"/>
            <w:bookmarkEnd w:id="18"/>
            <w:r>
              <w:rPr>
                <w:rFonts w:ascii="Times New Roman;Times;Serif" w:hAnsi="Times New Roman;Times;Serif"/>
                <w:b/>
                <w:sz w:val="20"/>
              </w:rPr>
              <w:t>ADGM</w:t>
            </w:r>
          </w:p>
        </w:tc>
        <w:tc>
          <w:tcPr>
            <w:tcW w:w="60" w:type="dxa"/>
            <w:tcBorders/>
            <w:vAlign w:val="center"/>
          </w:tcPr>
          <w:p>
            <w:pPr>
              <w:pStyle w:val="TableContents"/>
              <w:bidi w:val="0"/>
              <w:spacing w:before="0" w:after="283"/>
              <w:jc w:val="center"/>
              <w:rPr/>
            </w:pPr>
            <w:r>
              <w:rPr/>
              <w:t> </w:t>
            </w:r>
          </w:p>
        </w:tc>
        <w:tc>
          <w:tcPr>
            <w:tcW w:w="2675" w:type="dxa"/>
            <w:tcBorders/>
            <w:vAlign w:val="center"/>
          </w:tcPr>
          <w:p>
            <w:pPr>
              <w:pStyle w:val="TableContents"/>
              <w:bidi w:val="0"/>
              <w:spacing w:before="0" w:after="283"/>
              <w:jc w:val="center"/>
              <w:rPr>
                <w:rFonts w:ascii="Times New Roman;Times;Serif" w:hAnsi="Times New Roman;Times;Serif"/>
                <w:b/>
                <w:sz w:val="20"/>
              </w:rPr>
            </w:pPr>
            <w:bookmarkStart w:id="19" w:name="xdx_90E_edei--SecurityExchangeName_c2025"/>
            <w:bookmarkEnd w:id="19"/>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0" w:name="xdx_90C_edei--EntityWellKnownSeasonedIss"/>
      <w:bookmarkEnd w:id="20"/>
      <w:r>
        <w:rPr>
          <w:rFonts w:ascii="Times New Roman;Times;Serif" w:hAnsi="Times New Roman;Times;Serif"/>
          <w:b w:val="false"/>
          <w:i w:val="false"/>
          <w:caps w:val="false"/>
          <w:smallCaps w:val="false"/>
          <w:sz w:val="20"/>
        </w:rPr>
        <w:t xml:space="preserve">No </w:t>
      </w:r>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15(d) of the Act. Yes ☐ </w:t>
      </w:r>
      <w:bookmarkStart w:id="21" w:name="xdx_902_edei--EntityVoluntaryFilers_c202"/>
      <w:bookmarkEnd w:id="21"/>
      <w:r>
        <w:rPr>
          <w:rFonts w:ascii="Times New Roman;Times;Serif" w:hAnsi="Times New Roman;Times;Serif"/>
          <w:b w:val="false"/>
          <w:i w:val="false"/>
          <w:caps w:val="false"/>
          <w:smallCaps w:val="false"/>
          <w:sz w:val="20"/>
        </w:rPr>
        <w:t xml:space="preserve">No </w:t>
      </w:r>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w:t>
      </w:r>
      <w:bookmarkStart w:id="22" w:name="xdx_908_edei--EntityCurrentReportingStat"/>
      <w:bookmarkEnd w:id="22"/>
      <w:r>
        <w:rPr>
          <w:rFonts w:ascii="Times New Roman;Times;Serif" w:hAnsi="Times New Roman;Times;Serif"/>
          <w:b w:val="false"/>
          <w:i w:val="false"/>
          <w:caps w:val="false"/>
          <w:smallCaps w:val="false"/>
          <w:sz w:val="20"/>
        </w:rPr>
        <w:t xml:space="preserve">Yes </w:t>
      </w:r>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xml:space="preserve">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3" w:name="xdx_904_edei--EntityInteractiveDataCurre"/>
      <w:bookmarkEnd w:id="23"/>
      <w:r>
        <w:rPr>
          <w:rFonts w:ascii="Times New Roman;Times;Serif" w:hAnsi="Times New Roman;Times;Serif"/>
          <w:b w:val="false"/>
          <w:i w:val="false"/>
          <w:caps w:val="false"/>
          <w:smallCaps w:val="false"/>
          <w:sz w:val="20"/>
        </w:rPr>
        <w:t xml:space="preserve">Yes </w:t>
      </w:r>
      <w:r>
        <w:rPr>
          <w:rFonts w:ascii="Wingdings" w:hAnsi="Wingdings"/>
          <w:b w:val="false"/>
          <w:i w:val="false"/>
          <w:caps w:val="false"/>
          <w:smallCaps w:val="false"/>
          <w:sz w:val="20"/>
        </w:rPr>
        <w:t>x</w:t>
      </w:r>
      <w:r>
        <w:rPr>
          <w:rFonts w:ascii="Times New Roman;Times;Serif" w:hAnsi="Times New Roman;Times;Serif"/>
          <w:b w:val="false"/>
          <w:i w:val="false"/>
          <w:caps w:val="false"/>
          <w:smallCaps w:val="false"/>
          <w:sz w:val="20"/>
        </w:rPr>
        <w:t xml:space="preserve">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1835"/>
        <w:gridCol w:w="230"/>
        <w:gridCol w:w="2225"/>
        <w:gridCol w:w="290"/>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90"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bookmarkStart w:id="24" w:name="xdx_900_edei--EntityFilerCategory_c20250"/>
            <w:bookmarkEnd w:id="24"/>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90" w:type="dxa"/>
            <w:tcBorders/>
            <w:vAlign w:val="center"/>
          </w:tcPr>
          <w:p>
            <w:pPr>
              <w:pStyle w:val="TableContents"/>
              <w:bidi w:val="0"/>
              <w:spacing w:before="0" w:after="283"/>
              <w:jc w:val="left"/>
              <w:rPr>
                <w:rFonts w:ascii="Wingdings" w:hAnsi="Wingdings"/>
                <w:sz w:val="20"/>
              </w:rPr>
            </w:pPr>
            <w:bookmarkStart w:id="25" w:name="xdx_90E_edei--EntitySmallBusiness_c20250"/>
            <w:bookmarkEnd w:id="25"/>
            <w:r>
              <w:rPr>
                <w:rFonts w:ascii="Wingdings" w:hAnsi="Wingdings"/>
                <w:sz w:val="20"/>
              </w:rPr>
              <w:t>x</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90" w:type="dxa"/>
            <w:tcBorders/>
            <w:vAlign w:val="center"/>
          </w:tcPr>
          <w:p>
            <w:pPr>
              <w:pStyle w:val="TableContents"/>
              <w:bidi w:val="0"/>
              <w:spacing w:before="0" w:after="283"/>
              <w:jc w:val="left"/>
              <w:rPr>
                <w:rFonts w:ascii="Wingdings" w:hAnsi="Wingdings"/>
              </w:rPr>
            </w:pPr>
            <w:bookmarkStart w:id="26" w:name="xdx_90F_edei--EntityEmergingGrowthCompan"/>
            <w:bookmarkEnd w:id="26"/>
            <w:r>
              <w:rPr>
                <w:rFonts w:ascii="Wingdings" w:hAnsi="Wingdings"/>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5_edei--EntityExTransitionPeriod_c"/>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bookmarkStart w:id="28" w:name="xdx_907_edei--IcfrAuditorAttestationFlag"/>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29" w:name="xdx_909_edei--DocumentFinStmtErrorCorre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w:t>
      </w:r>
      <w:bookmarkStart w:id="30" w:name="xdx_900_edei--EntityShellCompany_c202501"/>
      <w:bookmarkEnd w:id="30"/>
      <w:r>
        <w:rPr>
          <w:rFonts w:ascii="Times New Roman;Times;Serif" w:hAnsi="Times New Roman;Times;Serif"/>
          <w:b w:val="false"/>
          <w:i w:val="false"/>
          <w:caps w:val="false"/>
          <w:smallCaps w:val="false"/>
          <w:sz w:val="20"/>
        </w:rPr>
        <w:t xml:space="preserve">No </w:t>
      </w:r>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aggregate market value of the common stock of the registrant held by non-affiliates was: $</w:t>
      </w:r>
      <w:bookmarkStart w:id="31" w:name="xdx_90D_edei--EntityPublicFloat_iI_c2025"/>
      <w:bookmarkEnd w:id="31"/>
      <w:r>
        <w:rPr>
          <w:rFonts w:ascii="Times New Roman;Times;Serif" w:hAnsi="Times New Roman;Times;Serif"/>
          <w:b w:val="false"/>
          <w:i w:val="false"/>
          <w:caps w:val="false"/>
          <w:smallCaps w:val="false"/>
          <w:sz w:val="20"/>
        </w:rPr>
        <w:t>7.0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23, 2026, there were </w:t>
      </w:r>
      <w:bookmarkStart w:id="32" w:name="xdx_90E_edei--EntityCommonStockSharesOut"/>
      <w:bookmarkEnd w:id="32"/>
      <w:r>
        <w:rPr>
          <w:rFonts w:ascii="Times New Roman;Times;Serif" w:hAnsi="Times New Roman;Times;Serif"/>
          <w:b w:val="false"/>
          <w:i w:val="false"/>
          <w:caps w:val="false"/>
          <w:smallCaps w:val="false"/>
          <w:sz w:val="20"/>
        </w:rPr>
        <w:t>22,210,459 shares of common stock, $0.0001 par value,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the registrant’s definitive Proxy Statement to be filed in connection with the registrant’s 2026 annual general meeting of shareholders (“2026 Proxy Statement”) are incorporated by reference into Part III of this Form 10 K where indicated. The 2026 Proxy Statement will be filed with the U.S. Securities and Exchange Commission within 120 days after the end of the fiscal year to which this report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Adagio Medical Holdings, Inc. is filing this Amendment No. 1 on Form 10-K/A (the “Amendment”) to amend its original Annual Report on Form 10-K for the period ended December 31, 2025 (the “Original Form 10-K”), originally filed with the Securities and Exchange Commission (the “SEC”) on March 27, 2026, for the sole purpose of including revised Exhibits 31.1 and 31.2, which replace the previously filed versions of those exhibits, to correct an inadvertent omission of certain language from paragraph 4 of the Exhibit 31.1 and Exhibit 31.2 certifications filed with the Original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contains only the Cover Page to this Amendment, this Explanatory Note, Item 15, the Signature Page, and the certifications attached to this Amendment as Exhibits 31.1 and 31.2. No other changes have been made to the Original Form 10-K. This Amendment speaks as of the original filing date of the Original Form 10-K, does not reflect events that may have occurred subsequent to the original filing date, and does not modify or update in any way disclosures made in the Original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this Amendment should be read in conjunction with the Original Form 10-K and our other filings with the SEC. The filing of this Amendment is not an admission that the Original Form 10-K, when filed, included any untrue statement of a material fact or omitted to state a material fact necessary to make a statement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71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15.</w:t>
            </w:r>
          </w:p>
        </w:tc>
        <w:tc>
          <w:tcPr>
            <w:tcW w:w="4535" w:type="dxa"/>
            <w:tcBorders/>
            <w:vAlign w:val="center"/>
          </w:tcPr>
          <w:p>
            <w:pPr>
              <w:pStyle w:val="TableContents"/>
              <w:bidi w:val="0"/>
              <w:spacing w:before="0" w:after="283"/>
              <w:jc w:val="left"/>
              <w:rPr>
                <w:b/>
              </w:rPr>
            </w:pPr>
            <w:r>
              <w:rPr>
                <w:b/>
              </w:rPr>
              <w:t>Exhibits and Financial Statement Schedules.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Amendment.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3"/>
        <w:gridCol w:w="60"/>
        <w:gridCol w:w="9722"/>
      </w:tblGrid>
      <w:tr>
        <w:trPr/>
        <w:tc>
          <w:tcPr>
            <w:tcW w:w="423"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w:t>
            </w:r>
          </w:p>
        </w:tc>
        <w:tc>
          <w:tcPr>
            <w:tcW w:w="60" w:type="dxa"/>
            <w:tcBorders/>
            <w:tcMar>
              <w:bottom w:w="0" w:type="dxa"/>
            </w:tcMar>
            <w:vAlign w:val="center"/>
          </w:tcPr>
          <w:p>
            <w:pPr>
              <w:pStyle w:val="TableContents"/>
              <w:bidi w:val="0"/>
              <w:spacing w:before="0" w:after="283"/>
              <w:jc w:val="center"/>
              <w:rPr/>
            </w:pPr>
            <w:r>
              <w:rPr/>
              <w:t> </w:t>
            </w:r>
          </w:p>
        </w:tc>
        <w:tc>
          <w:tcPr>
            <w:tcW w:w="972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423"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sz w:val="20"/>
                </w:rPr>
                <w:t>Business Combination Agreement, dated as of February 13, 2024, by and among Aja HoldCo, Inc., ARYA Sciences Acquisition Corp IV, Aja Merger Sub 1, Aja Merger Sub 2, Inc. and Adagio Medical, Inc. (incorporated by reference to Exhibit 2.1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2.2</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Consent and Amendment No. 1 to the Business Combination Agreement, dated as of June 25, 2024, by and among ARYA Sciences Acquisition Corp IV and Adagio Medical, Inc. (incorporated by reference to Exhibit 2.2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3.1</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Amended and Restated Certificate of Incorporation of the Company (incorporated by reference to Exhibit 3.1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3.2</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Amended and Restated By-Laws of the Company (incorporated by reference to Exhibit 3.2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Form of Base Warrant Agreement (incorporated by reference to Exhibit 4.1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Form of Pre-Funded Warrant Agreement (incorporated by reference to Exhibit 4.2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Form of Convertible Note (incorporated by reference to Exhibit 10.12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4.4</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Form of Convert Warrant Agreement (incorporated by reference to Exhibit 4.3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18">
              <w:r>
                <w:rPr>
                  <w:rStyle w:val="InternetLink"/>
                  <w:rFonts w:ascii="Times New Roman;Times;Serif" w:hAnsi="Times New Roman;Times;Serif"/>
                  <w:sz w:val="20"/>
                </w:rPr>
                <w:t>4.5</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Specimen Common Stock Certificate of New Adagio (incorporated by reference to Exhibit 4.4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sz w:val="20"/>
                </w:rPr>
                <w:t>4.6</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Form of Pre-Funded Warrant Agreement (incorporated by reference to Exhibit 4.1 to the Company’s Current Report on Form 8-K filed with the SEC on October 15, 2025).</w:t>
              </w:r>
            </w:hyperlink>
          </w:p>
        </w:tc>
      </w:tr>
      <w:tr>
        <w:trPr/>
        <w:tc>
          <w:tcPr>
            <w:tcW w:w="423" w:type="dxa"/>
            <w:tcBorders/>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sz w:val="20"/>
                </w:rPr>
                <w:t>4.7</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Form of Milestone Warrant (incorporated by reference to Exhibit 4.2 to the Company’s Current Report on Form 8-K filed with the SEC on October 15, 2025).</w:t>
              </w:r>
            </w:hyperlink>
          </w:p>
        </w:tc>
      </w:tr>
      <w:tr>
        <w:trPr/>
        <w:tc>
          <w:tcPr>
            <w:tcW w:w="423" w:type="dxa"/>
            <w:tcBorders/>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Form of Convertible Security Subscription Agreement (incorporated by reference to Exhibit 10.1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sz w:val="20"/>
                </w:rPr>
                <w:t>Investor Rights Agreement, dated as of February 13, 2024, by and among ARYA, ListCo, the Perceptive PIPE Investor, the Sponsor and the other parties thereto (incorporated by reference to Exhibit 10.2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28">
              <w:r>
                <w:rPr>
                  <w:rStyle w:val="InternetLink"/>
                  <w:rFonts w:ascii="Times New Roman;Times;Serif" w:hAnsi="Times New Roman;Times;Serif"/>
                  <w:sz w:val="20"/>
                </w:rPr>
                <w:t>10.3</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sz w:val="20"/>
                </w:rPr>
                <w:t>Sponsor Letter Agreement, dated February 13, 2024, by and between ARYA Sciences Acquisition Corp, ARYA Sciences Holdings IV, Todd Wider, Michael Henderson, Leslie Trigg, Joseph Edelman, Adam Stone, Michael Altman, Konstantin Poukalov and Adagio Medical, Inc. (incorporated by reference to Exhibit 10.3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30">
              <w:r>
                <w:rPr>
                  <w:rStyle w:val="InternetLink"/>
                  <w:rFonts w:ascii="Times New Roman;Times;Serif" w:hAnsi="Times New Roman;Times;Serif"/>
                  <w:sz w:val="20"/>
                </w:rPr>
                <w:t>10.4+</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sz w:val="20"/>
                </w:rPr>
                <w:t>Form of New Adagio 2024 Equity Incentive Plan (incorporated by reference to Exhibit 10.5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32">
              <w:r>
                <w:rPr>
                  <w:rStyle w:val="InternetLink"/>
                  <w:rFonts w:ascii="Times New Roman;Times;Serif" w:hAnsi="Times New Roman;Times;Serif"/>
                  <w:sz w:val="20"/>
                </w:rPr>
                <w:t>10.5+</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sz w:val="20"/>
                </w:rPr>
                <w:t>Form of New Adagio 2024 Key Employee Equity Incentive Plan (incorporated by reference to Exhibit 10.6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34">
              <w:r>
                <w:rPr>
                  <w:rStyle w:val="InternetLink"/>
                  <w:rFonts w:ascii="Times New Roman;Times;Serif" w:hAnsi="Times New Roman;Times;Serif"/>
                  <w:sz w:val="20"/>
                </w:rPr>
                <w:t>10.6+</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sz w:val="20"/>
                </w:rPr>
                <w:t>Form of New Adagio 2024 Employee Stock Purchase Plan (incorporated by reference to Exhibit 10.7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36">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sz w:val="20"/>
                </w:rPr>
                <w:t>Form of New Adagio Indemnity Agreement (incorporated by reference to Exhibit 10.8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38">
              <w:r>
                <w:rPr>
                  <w:rStyle w:val="InternetLink"/>
                  <w:rFonts w:ascii="Times New Roman;Times;Serif" w:hAnsi="Times New Roman;Times;Serif"/>
                  <w:sz w:val="20"/>
                </w:rPr>
                <w:t>10.8</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sz w:val="20"/>
                </w:rPr>
                <w:t>Convert Guaranty, dated as of July 31, 2024, by and among Adagio and the other parties thereto (incorporated by reference to Exhibit 10.9 to the Company’s Current Report on Form 8-K filed with the SEC on August 6, 2024).</w:t>
              </w:r>
            </w:hyperlink>
          </w:p>
        </w:tc>
      </w:tr>
      <w:tr>
        <w:trPr/>
        <w:tc>
          <w:tcPr>
            <w:tcW w:w="423" w:type="dxa"/>
            <w:tcBorders/>
            <w:tcMar>
              <w:bottom w:w="0" w:type="dxa"/>
            </w:tcMar>
            <w:vAlign w:val="center"/>
          </w:tcPr>
          <w:p>
            <w:pPr>
              <w:pStyle w:val="TableContents"/>
              <w:bidi w:val="0"/>
              <w:spacing w:before="0" w:after="283"/>
              <w:jc w:val="left"/>
              <w:rPr/>
            </w:pPr>
            <w:hyperlink r:id="rId40">
              <w:r>
                <w:rPr>
                  <w:rStyle w:val="InternetLink"/>
                  <w:rFonts w:ascii="Times New Roman;Times;Serif" w:hAnsi="Times New Roman;Times;Serif"/>
                  <w:sz w:val="20"/>
                </w:rPr>
                <w:t>10.9</w:t>
              </w:r>
            </w:hyperlink>
          </w:p>
        </w:tc>
        <w:tc>
          <w:tcPr>
            <w:tcW w:w="60" w:type="dxa"/>
            <w:tcBorders/>
            <w:tcMar>
              <w:bottom w:w="0" w:type="dxa"/>
            </w:tcMar>
            <w:vAlign w:val="center"/>
          </w:tcPr>
          <w:p>
            <w:pPr>
              <w:pStyle w:val="TableContents"/>
              <w:bidi w:val="0"/>
              <w:spacing w:before="0" w:after="283"/>
              <w:jc w:val="left"/>
              <w:rPr/>
            </w:pPr>
            <w:r>
              <w:rPr/>
              <w:t> </w:t>
            </w:r>
          </w:p>
        </w:tc>
        <w:tc>
          <w:tcPr>
            <w:tcW w:w="9722" w:type="dxa"/>
            <w:tcBorders/>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sz w:val="20"/>
                </w:rPr>
                <w:t>Convert Security Document, dated as of July 31, 2024, by and among New Adagio, Adagio and the other parties thereto (incorporated by reference to Exhibit 10.10 to the Company’s Current Report on Form 8-K filed with the SEC on August 6, 2024).</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45"/>
        <w:gridCol w:w="60"/>
        <w:gridCol w:w="9500"/>
      </w:tblGrid>
      <w:tr>
        <w:trPr/>
        <w:tc>
          <w:tcPr>
            <w:tcW w:w="645" w:type="dxa"/>
            <w:tcBorders/>
            <w:vAlign w:val="center"/>
          </w:tcPr>
          <w:p>
            <w:pPr>
              <w:pStyle w:val="TableContents"/>
              <w:bidi w:val="0"/>
              <w:spacing w:before="0" w:after="283"/>
              <w:jc w:val="left"/>
              <w:rPr/>
            </w:pPr>
            <w:hyperlink r:id="rId42">
              <w:r>
                <w:rPr>
                  <w:rStyle w:val="InternetLink"/>
                  <w:rFonts w:ascii="Times New Roman;Times;Serif" w:hAnsi="Times New Roman;Times;Serif"/>
                  <w:sz w:val="20"/>
                </w:rPr>
                <w:t>10.10</w:t>
              </w:r>
            </w:hyperlink>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hyperlink r:id="rId43">
              <w:r>
                <w:rPr>
                  <w:rStyle w:val="InternetLink"/>
                  <w:rFonts w:ascii="Times New Roman;Times;Serif" w:hAnsi="Times New Roman;Times;Serif"/>
                  <w:sz w:val="20"/>
                </w:rPr>
                <w:t>Registration Rights Agreement dated as of July 31, 2024, by and among New Adagio, Perceptive Life Sciences Master Fund, Ltd. and the other parties thereto (incorporated by reference to Exhibit 10.11 to the Company’s Current Report on Form 8-K filed with the SEC on August 6, 2024).</w:t>
              </w:r>
            </w:hyperlink>
          </w:p>
        </w:tc>
      </w:tr>
      <w:tr>
        <w:trPr/>
        <w:tc>
          <w:tcPr>
            <w:tcW w:w="645" w:type="dxa"/>
            <w:tcBorders/>
            <w:vAlign w:val="center"/>
          </w:tcPr>
          <w:p>
            <w:pPr>
              <w:pStyle w:val="TableContents"/>
              <w:bidi w:val="0"/>
              <w:spacing w:before="0" w:after="283"/>
              <w:jc w:val="left"/>
              <w:rPr/>
            </w:pPr>
            <w:hyperlink r:id="rId44">
              <w:r>
                <w:rPr>
                  <w:rStyle w:val="InternetLink"/>
                  <w:rFonts w:ascii="Times New Roman;Times;Serif" w:hAnsi="Times New Roman;Times;Serif"/>
                  <w:sz w:val="20"/>
                </w:rPr>
                <w:t>10.11</w:t>
              </w:r>
            </w:hyperlink>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hyperlink r:id="rId45">
              <w:r>
                <w:rPr>
                  <w:rStyle w:val="InternetLink"/>
                  <w:rFonts w:ascii="Times New Roman;Times;Serif" w:hAnsi="Times New Roman;Times;Serif"/>
                  <w:sz w:val="20"/>
                </w:rPr>
                <w:t>Form of Registration Rights Agreement, dated October 14, 2025, by and among the Company and each of the several purchasers signatory thereto (incorporated by reference to Exhibit 10.2 to the Company’s Current Report on Form 8-K filed with the SEC on October 15, 2025).</w:t>
              </w:r>
            </w:hyperlink>
          </w:p>
        </w:tc>
      </w:tr>
      <w:tr>
        <w:trPr/>
        <w:tc>
          <w:tcPr>
            <w:tcW w:w="645" w:type="dxa"/>
            <w:tcBorders/>
            <w:vAlign w:val="center"/>
          </w:tcPr>
          <w:p>
            <w:pPr>
              <w:pStyle w:val="TableContents"/>
              <w:bidi w:val="0"/>
              <w:spacing w:before="0" w:after="283"/>
              <w:jc w:val="left"/>
              <w:rPr/>
            </w:pPr>
            <w:hyperlink r:id="rId46">
              <w:r>
                <w:rPr>
                  <w:rStyle w:val="InternetLink"/>
                  <w:rFonts w:ascii="Times New Roman;Times;Serif" w:hAnsi="Times New Roman;Times;Serif"/>
                  <w:sz w:val="20"/>
                </w:rPr>
                <w:t>10.12+</w:t>
              </w:r>
            </w:hyperlink>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hyperlink r:id="rId47">
              <w:r>
                <w:rPr>
                  <w:rStyle w:val="InternetLink"/>
                  <w:rFonts w:ascii="Times New Roman;Times;Serif" w:hAnsi="Times New Roman;Times;Serif"/>
                  <w:sz w:val="20"/>
                </w:rPr>
                <w:t>Offer Letter, dated December 12, 2024, by and between the Company and Todd Usen (incorporated by reference to Exhibit 10.2 to the Company’s Current Report on Form 8-K filed with the SEC on December 16, 2024).</w:t>
              </w:r>
            </w:hyperlink>
          </w:p>
        </w:tc>
      </w:tr>
      <w:tr>
        <w:trPr/>
        <w:tc>
          <w:tcPr>
            <w:tcW w:w="645" w:type="dxa"/>
            <w:tcBorders/>
            <w:vAlign w:val="center"/>
          </w:tcPr>
          <w:p>
            <w:pPr>
              <w:pStyle w:val="TableContents"/>
              <w:bidi w:val="0"/>
              <w:spacing w:before="0" w:after="283"/>
              <w:jc w:val="left"/>
              <w:rPr/>
            </w:pPr>
            <w:hyperlink r:id="rId48">
              <w:r>
                <w:rPr>
                  <w:rStyle w:val="InternetLink"/>
                  <w:rFonts w:ascii="Times New Roman;Times;Serif" w:hAnsi="Times New Roman;Times;Serif"/>
                  <w:sz w:val="20"/>
                </w:rPr>
                <w:t>10.13+</w:t>
              </w:r>
            </w:hyperlink>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hyperlink r:id="rId49">
              <w:r>
                <w:rPr>
                  <w:rStyle w:val="InternetLink"/>
                  <w:rFonts w:ascii="Times New Roman;Times;Serif" w:hAnsi="Times New Roman;Times;Serif"/>
                  <w:sz w:val="20"/>
                </w:rPr>
                <w:t>Amended and Restated Offer Letter, dated September 3, 2025, between the Company and Deborah Kaster (incorporated by reference to Exhibit 10.1 to the Company’s Quarterly Report on Form 10-Q filed with the SEC on November 12, 2025).</w:t>
              </w:r>
            </w:hyperlink>
          </w:p>
        </w:tc>
      </w:tr>
      <w:tr>
        <w:trPr/>
        <w:tc>
          <w:tcPr>
            <w:tcW w:w="645" w:type="dxa"/>
            <w:tcBorders/>
            <w:vAlign w:val="center"/>
          </w:tcPr>
          <w:p>
            <w:pPr>
              <w:pStyle w:val="TableContents"/>
              <w:bidi w:val="0"/>
              <w:spacing w:before="0" w:after="283"/>
              <w:jc w:val="left"/>
              <w:rPr/>
            </w:pPr>
            <w:hyperlink r:id="rId50">
              <w:r>
                <w:rPr>
                  <w:rStyle w:val="InternetLink"/>
                  <w:rFonts w:ascii="Times New Roman;Times;Serif" w:hAnsi="Times New Roman;Times;Serif"/>
                  <w:sz w:val="20"/>
                </w:rPr>
                <w:t>10.14</w:t>
              </w:r>
            </w:hyperlink>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hyperlink r:id="rId51">
              <w:r>
                <w:rPr>
                  <w:rStyle w:val="InternetLink"/>
                  <w:rFonts w:ascii="Times New Roman;Times;Serif" w:hAnsi="Times New Roman;Times;Serif"/>
                  <w:sz w:val="20"/>
                </w:rPr>
                <w:t>Tenth Amendment to the Facilities and Services Agreement, dated August 1, 2024, between Fjord Ventures, LLC and Legacy Adagio (incorporated by reference to Exhibit 10.24 to the Company’s Annual Report on Form 10-K filed with the SEC on March 27, 2025).</w:t>
              </w:r>
            </w:hyperlink>
          </w:p>
        </w:tc>
      </w:tr>
      <w:tr>
        <w:trPr/>
        <w:tc>
          <w:tcPr>
            <w:tcW w:w="645" w:type="dxa"/>
            <w:tcBorders/>
            <w:vAlign w:val="center"/>
          </w:tcPr>
          <w:p>
            <w:pPr>
              <w:pStyle w:val="TableContents"/>
              <w:bidi w:val="0"/>
              <w:spacing w:before="0" w:after="283"/>
              <w:jc w:val="left"/>
              <w:rPr/>
            </w:pPr>
            <w:hyperlink r:id="rId52">
              <w:r>
                <w:rPr>
                  <w:rStyle w:val="InternetLink"/>
                  <w:rFonts w:ascii="Times New Roman;Times;Serif" w:hAnsi="Times New Roman;Times;Serif"/>
                  <w:sz w:val="20"/>
                </w:rPr>
                <w:t>19.1</w:t>
              </w:r>
            </w:hyperlink>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hyperlink r:id="rId53">
              <w:r>
                <w:rPr>
                  <w:rStyle w:val="InternetLink"/>
                  <w:rFonts w:ascii="Times New Roman;Times;Serif" w:hAnsi="Times New Roman;Times;Serif"/>
                  <w:sz w:val="20"/>
                </w:rPr>
                <w:t>Insider Trading Policy (incorporated by reference to Exhibit 19.1 to the Company’s Annual Report on Form 10-K filed with the SEC on March 27, 2025).</w:t>
              </w:r>
            </w:hyperlink>
          </w:p>
        </w:tc>
      </w:tr>
      <w:tr>
        <w:trPr/>
        <w:tc>
          <w:tcPr>
            <w:tcW w:w="645" w:type="dxa"/>
            <w:tcBorders/>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"https://www.sec.gov/Archives/edgar/data/2006986/000200698626000003/adgm-20251231x10k.htm" \l "SIGNATURES"</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24.1</w:t>
            </w:r>
            <w:r>
              <w:rPr>
                <w:rStyle w:val="InternetLink"/>
                <w:sz w:val="20"/>
                <w:rFonts w:ascii="Times New Roman;Times;Serif" w:hAnsi="Times New Roman;Times;Serif"/>
              </w:rPr>
              <w:fldChar w:fldCharType="end"/>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"https://www.sec.gov/Archives/edgar/data/2006986/000200698626000003/adgm-20251231x10k.htm" \l "SIGNATURES"</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Power of Attorney (included on signature page)</w:t>
            </w:r>
            <w:r>
              <w:rPr>
                <w:rStyle w:val="InternetLink"/>
                <w:sz w:val="20"/>
                <w:rFonts w:ascii="Times New Roman;Times;Serif" w:hAnsi="Times New Roman;Times;Serif"/>
              </w:rPr>
              <w:fldChar w:fldCharType="end"/>
            </w:r>
            <w:r>
              <w:fldChar w:fldCharType="begin"/>
            </w:r>
            <w:r>
              <w:rPr>
                <w:rStyle w:val="InternetLink"/>
              </w:rPr>
              <w:instrText xml:space="preserve"> HYPERLINK "https://www.sec.gov/Archives/edgar/data/2006986/000200698626000003/adgm-20251231x10k.htm" \l "SIGNATURES"</w:instrText>
            </w:r>
            <w:r>
              <w:rPr>
                <w:rStyle w:val="InternetLink"/>
              </w:rPr>
              <w:fldChar w:fldCharType="separate"/>
            </w:r>
            <w:r>
              <w:rPr>
                <w:rStyle w:val="InternetLink"/>
              </w:rPr>
              <w:t xml:space="preserve"> </w:t>
            </w:r>
            <w:r>
              <w:rPr>
                <w:rStyle w:val="InternetLink"/>
              </w:rPr>
              <w:fldChar w:fldCharType="end"/>
            </w:r>
            <w:r>
              <w:fldChar w:fldCharType="begin"/>
            </w:r>
            <w:r>
              <w:rPr>
                <w:rStyle w:val="InternetLink"/>
                <w:sz w:val="20"/>
              </w:rPr>
              <w:instrText xml:space="preserve"> HYPERLINK "https://www.sec.gov/Archives/edgar/data/2006986/000200698626000003/adgm-20251231x10k.htm" \l "SIGNATURES"</w:instrText>
            </w:r>
            <w:r>
              <w:rPr>
                <w:rStyle w:val="InternetLink"/>
                <w:sz w:val="20"/>
              </w:rPr>
              <w:fldChar w:fldCharType="separate"/>
            </w:r>
            <w:r>
              <w:rPr>
                <w:rStyle w:val="InternetLink"/>
                <w:sz w:val="20"/>
              </w:rPr>
              <w:t>(incorporated by reference to Exhibit 24.1 to the Company’s Annual Report on Form 10-K filed with the SEC on March 27, 2026)</w:t>
            </w:r>
            <w:r>
              <w:rPr>
                <w:rStyle w:val="InternetLink"/>
                <w:sz w:val="20"/>
              </w:rPr>
              <w:fldChar w:fldCharType="end"/>
            </w:r>
          </w:p>
        </w:tc>
      </w:tr>
      <w:tr>
        <w:trPr/>
        <w:tc>
          <w:tcPr>
            <w:tcW w:w="645" w:type="dxa"/>
            <w:tcBorders/>
            <w:vAlign w:val="center"/>
          </w:tcPr>
          <w:p>
            <w:pPr>
              <w:pStyle w:val="TableContents"/>
              <w:bidi w:val="0"/>
              <w:spacing w:before="0" w:after="283"/>
              <w:jc w:val="left"/>
              <w:rPr/>
            </w:pPr>
            <w:hyperlink w:anchor="tm2620259d1_ex31-1.htm">
              <w:r>
                <w:rPr>
                  <w:rStyle w:val="InternetLink"/>
                  <w:rFonts w:ascii="Times New Roman;Times;Serif" w:hAnsi="Times New Roman;Times;Serif"/>
                  <w:sz w:val="20"/>
                </w:rPr>
                <w:t>31.1*</w:t>
              </w:r>
            </w:hyperlink>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hyperlink w:anchor="tm2620259d1_ex31-1.htm">
              <w:r>
                <w:rPr>
                  <w:rStyle w:val="InternetLink"/>
                  <w:rFonts w:ascii="Times New Roman;Times;Serif" w:hAnsi="Times New Roman;Times;Serif"/>
                  <w:sz w:val="20"/>
                </w:rPr>
                <w:t>Certification of Principal Executive Officer Pursuant to Securities Exchange Act Rules 13a-14(a) and 15d-14(a), as adopted Pursuant to Section 302 of the Sarbanes-Oxley Act of 2002.</w:t>
              </w:r>
            </w:hyperlink>
          </w:p>
        </w:tc>
      </w:tr>
      <w:tr>
        <w:trPr/>
        <w:tc>
          <w:tcPr>
            <w:tcW w:w="645" w:type="dxa"/>
            <w:tcBorders/>
            <w:vAlign w:val="center"/>
          </w:tcPr>
          <w:p>
            <w:pPr>
              <w:pStyle w:val="TableContents"/>
              <w:bidi w:val="0"/>
              <w:spacing w:before="0" w:after="283"/>
              <w:jc w:val="left"/>
              <w:rPr/>
            </w:pPr>
            <w:hyperlink w:anchor="tm2620259d1_ex31-2.htm">
              <w:r>
                <w:rPr>
                  <w:rStyle w:val="InternetLink"/>
                  <w:rFonts w:ascii="Times New Roman;Times;Serif" w:hAnsi="Times New Roman;Times;Serif"/>
                  <w:sz w:val="20"/>
                </w:rPr>
                <w:t>31.2*</w:t>
              </w:r>
            </w:hyperlink>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hyperlink w:anchor="tm2620259d1_ex31-2.htm">
              <w:r>
                <w:rPr>
                  <w:rStyle w:val="InternetLink"/>
                  <w:rFonts w:ascii="Times New Roman;Times;Serif" w:hAnsi="Times New Roman;Times;Serif"/>
                  <w:sz w:val="20"/>
                </w:rPr>
                <w:t>Certification of Principal Financial Officer Pursuant to Securities Exchange Act Rules 13a-14(a) and 15d-14(a), as adopted Pursuant to Section 302 of the Sarbanes-Oxley Act of 2002.</w:t>
              </w:r>
            </w:hyperlink>
          </w:p>
        </w:tc>
      </w:tr>
      <w:tr>
        <w:trPr/>
        <w:tc>
          <w:tcPr>
            <w:tcW w:w="645" w:type="dxa"/>
            <w:tcBorders/>
            <w:vAlign w:val="center"/>
          </w:tcPr>
          <w:p>
            <w:pPr>
              <w:pStyle w:val="TableContents"/>
              <w:bidi w:val="0"/>
              <w:spacing w:before="0" w:after="283"/>
              <w:jc w:val="left"/>
              <w:rPr/>
            </w:pPr>
            <w:hyperlink r:id="rId54">
              <w:r>
                <w:rPr>
                  <w:rStyle w:val="InternetLink"/>
                  <w:rFonts w:ascii="Times New Roman;Times;Serif" w:hAnsi="Times New Roman;Times;Serif"/>
                  <w:sz w:val="20"/>
                </w:rPr>
                <w:t>32.1</w:t>
              </w:r>
            </w:hyperlink>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hyperlink r:id="rId55">
              <w:r>
                <w:rPr>
                  <w:rStyle w:val="InternetLink"/>
                  <w:rFonts w:ascii="Times New Roman;Times;Serif" w:hAnsi="Times New Roman;Times;Serif"/>
                  <w:sz w:val="20"/>
                </w:rPr>
                <w:t>Certification of Principal Executive Officer Pursuant to 18 U.S.C. Section 1350, as adopted Pursuant to Section 906 of the Sarbanes-Oxley Act of 2002. (incorporated by reference to Exhibit 32.1 to the Company’s Annual Report on Form 10-K filed with the SEC on March 27, 2026).</w:t>
              </w:r>
            </w:hyperlink>
          </w:p>
        </w:tc>
      </w:tr>
      <w:tr>
        <w:trPr/>
        <w:tc>
          <w:tcPr>
            <w:tcW w:w="645" w:type="dxa"/>
            <w:tcBorders/>
            <w:vAlign w:val="center"/>
          </w:tcPr>
          <w:p>
            <w:pPr>
              <w:pStyle w:val="TableContents"/>
              <w:bidi w:val="0"/>
              <w:spacing w:before="0" w:after="283"/>
              <w:jc w:val="left"/>
              <w:rPr/>
            </w:pPr>
            <w:hyperlink r:id="rId56">
              <w:r>
                <w:rPr>
                  <w:rStyle w:val="InternetLink"/>
                  <w:rFonts w:ascii="Times New Roman;Times;Serif" w:hAnsi="Times New Roman;Times;Serif"/>
                  <w:sz w:val="20"/>
                </w:rPr>
                <w:t>32.2</w:t>
              </w:r>
            </w:hyperlink>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hyperlink r:id="rId57">
              <w:r>
                <w:rPr>
                  <w:rStyle w:val="InternetLink"/>
                  <w:rFonts w:ascii="Times New Roman;Times;Serif" w:hAnsi="Times New Roman;Times;Serif"/>
                  <w:sz w:val="20"/>
                </w:rPr>
                <w:t>Certification of Principal Financial Officer Pursuant to 18 U.S.C. Section 1350, as adopted Pursuant to Section 906 of the Sarbanes-Oxley Act of 2002. (incorporated by reference to Exhibit 32.2 to the Company’s Annual Report on Form 10-K filed with the SEC on March 27, 2026).</w:t>
              </w:r>
            </w:hyperlink>
          </w:p>
        </w:tc>
      </w:tr>
      <w:tr>
        <w:trPr/>
        <w:tc>
          <w:tcPr>
            <w:tcW w:w="645" w:type="dxa"/>
            <w:tcBorders/>
            <w:vAlign w:val="center"/>
          </w:tcPr>
          <w:p>
            <w:pPr>
              <w:pStyle w:val="TableContents"/>
              <w:bidi w:val="0"/>
              <w:spacing w:before="0" w:after="283"/>
              <w:jc w:val="left"/>
              <w:rPr/>
            </w:pPr>
            <w:hyperlink r:id="rId58">
              <w:r>
                <w:rPr>
                  <w:rStyle w:val="InternetLink"/>
                  <w:rFonts w:ascii="Times New Roman;Times;Serif" w:hAnsi="Times New Roman;Times;Serif"/>
                  <w:sz w:val="20"/>
                </w:rPr>
                <w:t>97.1</w:t>
              </w:r>
            </w:hyperlink>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hyperlink r:id="rId59">
              <w:r>
                <w:rPr>
                  <w:rStyle w:val="InternetLink"/>
                  <w:rFonts w:ascii="Times New Roman;Times;Serif" w:hAnsi="Times New Roman;Times;Serif"/>
                  <w:sz w:val="20"/>
                </w:rPr>
                <w:t>Policy Relating to Recovery of Erroneously Awarded Compensation (incorporated by reference to Exhibit 97.1 to the Company’s Annual Report on Form 10-K filed with the SEC on March 27, 2025).</w:t>
              </w:r>
            </w:hyperlink>
          </w:p>
        </w:tc>
      </w:tr>
      <w:tr>
        <w:trPr/>
        <w:tc>
          <w:tcPr>
            <w:tcW w:w="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for the cover page of this Annual Report on Form 10-K, included in the Exhibit 101 Inline XBRL Document Set.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563" w:type="dxa"/>
        <w:jc w:val="left"/>
        <w:tblInd w:w="0" w:type="dxa"/>
        <w:tblLayout w:type="fixed"/>
        <w:tblCellMar>
          <w:top w:w="0" w:type="dxa"/>
          <w:left w:w="0" w:type="dxa"/>
          <w:bottom w:w="0" w:type="dxa"/>
          <w:right w:w="0" w:type="dxa"/>
        </w:tblCellMar>
      </w:tblPr>
      <w:tblGrid>
        <w:gridCol w:w="38"/>
        <w:gridCol w:w="125"/>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00" w:type="dxa"/>
            <w:tcBorders/>
            <w:vAlign w:val="center"/>
          </w:tcPr>
          <w:p>
            <w:pPr>
              <w:pStyle w:val="TableContents"/>
              <w:bidi w:val="0"/>
              <w:spacing w:before="0" w:after="283"/>
              <w:jc w:val="both"/>
              <w:rPr/>
            </w:pPr>
            <w:r>
              <w:rPr/>
              <w:t>Filed herewith</w:t>
            </w:r>
          </w:p>
        </w:tc>
      </w:tr>
    </w:tbl>
    <w:tbl>
      <w:tblPr>
        <w:tblW w:w="2133" w:type="dxa"/>
        <w:jc w:val="left"/>
        <w:tblInd w:w="0" w:type="dxa"/>
        <w:tblLayout w:type="fixed"/>
        <w:tblCellMar>
          <w:top w:w="0" w:type="dxa"/>
          <w:left w:w="0" w:type="dxa"/>
          <w:bottom w:w="0" w:type="dxa"/>
          <w:right w:w="0" w:type="dxa"/>
        </w:tblCellMar>
      </w:tblPr>
      <w:tblGrid>
        <w:gridCol w:w="38"/>
        <w:gridCol w:w="23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65" w:type="dxa"/>
            <w:tcBorders/>
            <w:vAlign w:val="center"/>
          </w:tcPr>
          <w:p>
            <w:pPr>
              <w:pStyle w:val="TableContents"/>
              <w:bidi w:val="0"/>
              <w:spacing w:before="0" w:after="283"/>
              <w:jc w:val="both"/>
              <w:rPr/>
            </w:pPr>
            <w:r>
              <w:rPr/>
              <w:t>Furnished herewith</w:t>
            </w:r>
          </w:p>
        </w:tc>
      </w:tr>
    </w:tbl>
    <w:tbl>
      <w:tblPr>
        <w:tblW w:w="5208" w:type="dxa"/>
        <w:jc w:val="left"/>
        <w:tblInd w:w="0" w:type="dxa"/>
        <w:tblLayout w:type="fixed"/>
        <w:tblCellMar>
          <w:top w:w="0" w:type="dxa"/>
          <w:left w:w="0" w:type="dxa"/>
          <w:bottom w:w="0" w:type="dxa"/>
          <w:right w:w="0" w:type="dxa"/>
        </w:tblCellMar>
      </w:tblPr>
      <w:tblGrid>
        <w:gridCol w:w="38"/>
        <w:gridCol w:w="125"/>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045" w:type="dxa"/>
            <w:tcBorders/>
            <w:vAlign w:val="center"/>
          </w:tcPr>
          <w:p>
            <w:pPr>
              <w:pStyle w:val="TableContents"/>
              <w:bidi w:val="0"/>
              <w:spacing w:before="0" w:after="283"/>
              <w:jc w:val="both"/>
              <w:rPr/>
            </w:pPr>
            <w:r>
              <w:rPr/>
              <w:t>Indicates management contract or compensatory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169" w:type="dxa"/>
        <w:jc w:val="left"/>
        <w:tblInd w:w="0" w:type="dxa"/>
        <w:tblLayout w:type="fixed"/>
        <w:tblCellMar>
          <w:top w:w="0" w:type="dxa"/>
          <w:left w:w="0" w:type="dxa"/>
          <w:bottom w:w="0" w:type="dxa"/>
          <w:right w:w="0" w:type="dxa"/>
        </w:tblCellMar>
      </w:tblPr>
      <w:tblGrid>
        <w:gridCol w:w="1805"/>
        <w:gridCol w:w="473"/>
        <w:gridCol w:w="2891"/>
      </w:tblGrid>
      <w:tr>
        <w:trPr/>
        <w:tc>
          <w:tcPr>
            <w:tcW w:w="180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rFonts w:ascii="Times New Roman;Times;Serif" w:hAnsi="Times New Roman;Times;Serif"/>
                <w:b/>
                <w:sz w:val="20"/>
              </w:rPr>
              <w:t>ADAGIO MEDICAL HOLDINGS, INC</w:t>
            </w:r>
            <w:r>
              <w:rPr>
                <w:b/>
              </w:rPr>
              <w:t>.</w:t>
            </w:r>
          </w:p>
        </w:tc>
      </w:tr>
      <w:tr>
        <w:trPr/>
        <w:tc>
          <w:tcPr>
            <w:tcW w:w="180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2891"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rFonts w:ascii="Times New Roman;Times;Serif" w:hAnsi="Times New Roman;Times;Serif"/>
                <w:sz w:val="20"/>
              </w:rPr>
              <w:t xml:space="preserve">Date: </w:t>
            </w:r>
            <w:r>
              <w:rPr/>
              <w:t>July 13, 2026</w:t>
            </w:r>
          </w:p>
        </w:tc>
        <w:tc>
          <w:tcPr>
            <w:tcW w:w="4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91"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 xml:space="preserve">/s/ </w:t>
            </w:r>
            <w:r>
              <w:rPr/>
              <w:t>Todd Usen</w:t>
            </w:r>
          </w:p>
        </w:tc>
      </w:tr>
      <w:tr>
        <w:trPr/>
        <w:tc>
          <w:tcPr>
            <w:tcW w:w="1805"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28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Usen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bookmarkStart w:id="33" w:name="tm2620259d1_ex31-1.htm"/>
      <w:bookmarkStart w:id="34" w:name="kstm2620259d1_ex311"/>
      <w:bookmarkEnd w:id="33"/>
      <w:bookmarkEnd w:id="3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 PURSUANT TO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Todd Usen,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1.</w:t>
            </w:r>
          </w:p>
        </w:tc>
        <w:tc>
          <w:tcPr>
            <w:tcW w:w="9994" w:type="dxa"/>
            <w:tcBorders/>
            <w:vAlign w:val="center"/>
          </w:tcPr>
          <w:p>
            <w:pPr>
              <w:pStyle w:val="TableContents"/>
              <w:bidi w:val="0"/>
              <w:spacing w:before="0" w:after="283"/>
              <w:jc w:val="left"/>
              <w:rPr/>
            </w:pPr>
            <w:r>
              <w:rPr/>
              <w:t>I have reviewed this Annual Report on Form 10-K/A for the fiscal year ended December 31, 2025 of Adagio Medical Holdings, Inc. (formerly known as “Aja Holdco, Inc.”);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819"/>
        <w:gridCol w:w="9231"/>
      </w:tblGrid>
      <w:tr>
        <w:trPr/>
        <w:tc>
          <w:tcPr>
            <w:tcW w:w="15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3.</w:t>
            </w:r>
          </w:p>
        </w:tc>
        <w:tc>
          <w:tcPr>
            <w:tcW w:w="9231" w:type="dxa"/>
            <w:tcBorders/>
            <w:vAlign w:val="center"/>
          </w:tcPr>
          <w:p>
            <w:pPr>
              <w:pStyle w:val="TableContents"/>
              <w:bidi w:val="0"/>
              <w:spacing w:before="0" w:after="283"/>
              <w:jc w:val="left"/>
              <w:rPr/>
            </w:pPr>
            <w:r>
              <w:rPr/>
              <w:t>[Intentionally Omitted].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1625"/>
        <w:gridCol w:w="365"/>
        <w:gridCol w:w="3005"/>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13,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Todd Usen</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Todd Usen</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r>
        <w:trPr/>
        <w:tc>
          <w:tcPr>
            <w:tcW w:w="162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35" w:name="tm2620259d1_ex31-2.htm"/>
      <w:bookmarkStart w:id="36" w:name="kstm2620259d1_ex312"/>
      <w:bookmarkEnd w:id="35"/>
      <w:bookmarkEnd w:id="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CERTIFICATION OF PRINCIPAL FINANCIAL OFFICER PURSUANT TO</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Deborah Kaster,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1.</w:t>
            </w:r>
          </w:p>
        </w:tc>
        <w:tc>
          <w:tcPr>
            <w:tcW w:w="9995" w:type="dxa"/>
            <w:tcBorders/>
            <w:vAlign w:val="center"/>
          </w:tcPr>
          <w:p>
            <w:pPr>
              <w:pStyle w:val="TableContents"/>
              <w:bidi w:val="0"/>
              <w:spacing w:before="0" w:after="283"/>
              <w:jc w:val="left"/>
              <w:rPr/>
            </w:pPr>
            <w:r>
              <w:rPr/>
              <w:t>I have reviewed this Annual Report on Form 10-K/A for the annual year ended December 31, 2025 of Adagio Medical Holdings, Inc. (formerly known as “Aja Holdco, Inc.”);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819"/>
        <w:gridCol w:w="9231"/>
      </w:tblGrid>
      <w:tr>
        <w:trPr/>
        <w:tc>
          <w:tcPr>
            <w:tcW w:w="15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pPr>
            <w:r>
              <w:rPr/>
              <w:t>3.</w:t>
            </w:r>
          </w:p>
        </w:tc>
        <w:tc>
          <w:tcPr>
            <w:tcW w:w="9231" w:type="dxa"/>
            <w:tcBorders/>
            <w:vAlign w:val="center"/>
          </w:tcPr>
          <w:p>
            <w:pPr>
              <w:pStyle w:val="TableContents"/>
              <w:bidi w:val="0"/>
              <w:spacing w:before="0" w:after="283"/>
              <w:jc w:val="left"/>
              <w:rPr/>
            </w:pPr>
            <w:r>
              <w:rPr/>
              <w:t>[Intentionally Omitted].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1625"/>
        <w:gridCol w:w="320"/>
        <w:gridCol w:w="3650"/>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Deborah Kaster</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Deborah Kaster</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6986/000114036124035942/ef20033584_ex2-1.htm" TargetMode="External"/><Relationship Id="rId3" Type="http://schemas.openxmlformats.org/officeDocument/2006/relationships/hyperlink" Target="https://www.sec.gov/Archives/edgar/data/2006986/000114036124035942/ef20033584_ex2-1.htm" TargetMode="External"/><Relationship Id="rId4" Type="http://schemas.openxmlformats.org/officeDocument/2006/relationships/hyperlink" Target="https://www.sec.gov/Archives/edgar/data/2006986/000114036124035942/ef20033584_ex2-2.htm" TargetMode="External"/><Relationship Id="rId5" Type="http://schemas.openxmlformats.org/officeDocument/2006/relationships/hyperlink" Target="https://www.sec.gov/Archives/edgar/data/2006986/000114036124035942/ef20033584_ex2-2.htm" TargetMode="External"/><Relationship Id="rId6" Type="http://schemas.openxmlformats.org/officeDocument/2006/relationships/hyperlink" Target="https://www.sec.gov/Archives/edgar/data/2006986/000114036124035942/ef20033584_ex3-1.htm" TargetMode="External"/><Relationship Id="rId7" Type="http://schemas.openxmlformats.org/officeDocument/2006/relationships/hyperlink" Target="https://www.sec.gov/Archives/edgar/data/2006986/000114036124035942/ef20033584_ex3-1.htm" TargetMode="External"/><Relationship Id="rId8" Type="http://schemas.openxmlformats.org/officeDocument/2006/relationships/hyperlink" Target="https://www.sec.gov/Archives/edgar/data/2006986/000114036124035942/ef20033584_ex3-2.htm" TargetMode="External"/><Relationship Id="rId9" Type="http://schemas.openxmlformats.org/officeDocument/2006/relationships/hyperlink" Target="https://www.sec.gov/Archives/edgar/data/2006986/000114036124035942/ef20033584_ex3-2.htm" TargetMode="External"/><Relationship Id="rId10" Type="http://schemas.openxmlformats.org/officeDocument/2006/relationships/hyperlink" Target="https://www.sec.gov/Archives/edgar/data/2006986/000114036124035942/ef20033584_ex4-1.htm" TargetMode="External"/><Relationship Id="rId11" Type="http://schemas.openxmlformats.org/officeDocument/2006/relationships/hyperlink" Target="https://www.sec.gov/Archives/edgar/data/2006986/000114036124035942/ef20033584_ex4-1.htm" TargetMode="External"/><Relationship Id="rId12" Type="http://schemas.openxmlformats.org/officeDocument/2006/relationships/hyperlink" Target="https://www.sec.gov/Archives/edgar/data/2006986/000114036124035942/ef20033584_ex4-2.htm" TargetMode="External"/><Relationship Id="rId13" Type="http://schemas.openxmlformats.org/officeDocument/2006/relationships/hyperlink" Target="https://www.sec.gov/Archives/edgar/data/2006986/000114036124035942/ef20033584_ex4-2.htm" TargetMode="External"/><Relationship Id="rId14" Type="http://schemas.openxmlformats.org/officeDocument/2006/relationships/hyperlink" Target="https://www.sec.gov/Archives/edgar/data/2006986/000114036124035942/ef20033584_ex10-12.htm" TargetMode="External"/><Relationship Id="rId15" Type="http://schemas.openxmlformats.org/officeDocument/2006/relationships/hyperlink" Target="https://www.sec.gov/Archives/edgar/data/2006986/000114036124035942/ef20033584_ex10-12.htm" TargetMode="External"/><Relationship Id="rId16" Type="http://schemas.openxmlformats.org/officeDocument/2006/relationships/hyperlink" Target="https://www.sec.gov/Archives/edgar/data/2006986/000114036124035942/ef20033584_ex4-3.htm" TargetMode="External"/><Relationship Id="rId17" Type="http://schemas.openxmlformats.org/officeDocument/2006/relationships/hyperlink" Target="https://www.sec.gov/Archives/edgar/data/2006986/000114036124035942/ef20033584_ex4-3.htm" TargetMode="External"/><Relationship Id="rId18" Type="http://schemas.openxmlformats.org/officeDocument/2006/relationships/hyperlink" Target="https://www.sec.gov/Archives/edgar/data/2006986/000114036124035942/ef20033584_ex4-4.htm" TargetMode="External"/><Relationship Id="rId19" Type="http://schemas.openxmlformats.org/officeDocument/2006/relationships/hyperlink" Target="https://www.sec.gov/Archives/edgar/data/2006986/000114036124035942/ef20033584_ex4-4.htm" TargetMode="External"/><Relationship Id="rId20" Type="http://schemas.openxmlformats.org/officeDocument/2006/relationships/hyperlink" Target="https://www.sec.gov/Archives/edgar/data/2006986/000110465925099535/tm2528783d1_ex4-1.htm" TargetMode="External"/><Relationship Id="rId21" Type="http://schemas.openxmlformats.org/officeDocument/2006/relationships/hyperlink" Target="https://www.sec.gov/Archives/edgar/data/2006986/000110465925099535/tm2528783d1_ex4-1.htm" TargetMode="External"/><Relationship Id="rId22" Type="http://schemas.openxmlformats.org/officeDocument/2006/relationships/hyperlink" Target="https://www.sec.gov/Archives/edgar/data/2006986/000110465925099535/tm2528783d1_ex4-2.htm" TargetMode="External"/><Relationship Id="rId23" Type="http://schemas.openxmlformats.org/officeDocument/2006/relationships/hyperlink" Target="https://www.sec.gov/Archives/edgar/data/2006986/000110465925099535/tm2528783d1_ex4-2.htm" TargetMode="External"/><Relationship Id="rId24" Type="http://schemas.openxmlformats.org/officeDocument/2006/relationships/hyperlink" Target="https://www.sec.gov/Archives/edgar/data/2006986/000114036124035942/ef20033584_ex10-1.htm" TargetMode="External"/><Relationship Id="rId25" Type="http://schemas.openxmlformats.org/officeDocument/2006/relationships/hyperlink" Target="https://www.sec.gov/Archives/edgar/data/2006986/000114036124035942/ef20033584_ex10-1.htm" TargetMode="External"/><Relationship Id="rId26" Type="http://schemas.openxmlformats.org/officeDocument/2006/relationships/hyperlink" Target="https://www.sec.gov/Archives/edgar/data/2006986/000114036124035942/ef20033584_ex10-2.htm" TargetMode="External"/><Relationship Id="rId27" Type="http://schemas.openxmlformats.org/officeDocument/2006/relationships/hyperlink" Target="https://www.sec.gov/Archives/edgar/data/2006986/000114036124035942/ef20033584_ex10-2.htm" TargetMode="External"/><Relationship Id="rId28" Type="http://schemas.openxmlformats.org/officeDocument/2006/relationships/hyperlink" Target="https://www.sec.gov/Archives/edgar/data/2006986/000114036124035942/ef20033584_ex10-3.htm" TargetMode="External"/><Relationship Id="rId29" Type="http://schemas.openxmlformats.org/officeDocument/2006/relationships/hyperlink" Target="https://www.sec.gov/Archives/edgar/data/2006986/000114036124035942/ef20033584_ex10-3.htm" TargetMode="External"/><Relationship Id="rId30" Type="http://schemas.openxmlformats.org/officeDocument/2006/relationships/hyperlink" Target="https://www.sec.gov/Archives/edgar/data/2006986/000114036124035942/ef20033584_ex10-5.htm" TargetMode="External"/><Relationship Id="rId31" Type="http://schemas.openxmlformats.org/officeDocument/2006/relationships/hyperlink" Target="https://www.sec.gov/Archives/edgar/data/2006986/000114036124035942/ef20033584_ex10-5.htm" TargetMode="External"/><Relationship Id="rId32" Type="http://schemas.openxmlformats.org/officeDocument/2006/relationships/hyperlink" Target="https://www.sec.gov/Archives/edgar/data/2006986/000114036124035942/ef20033584_ex10-6.htm" TargetMode="External"/><Relationship Id="rId33" Type="http://schemas.openxmlformats.org/officeDocument/2006/relationships/hyperlink" Target="https://www.sec.gov/Archives/edgar/data/2006986/000114036124035942/ef20033584_ex10-6.htm" TargetMode="External"/><Relationship Id="rId34" Type="http://schemas.openxmlformats.org/officeDocument/2006/relationships/hyperlink" Target="https://www.sec.gov/Archives/edgar/data/2006986/000114036124035942/ef20033584_ex10-7.htm" TargetMode="External"/><Relationship Id="rId35" Type="http://schemas.openxmlformats.org/officeDocument/2006/relationships/hyperlink" Target="https://www.sec.gov/Archives/edgar/data/2006986/000114036124035942/ef20033584_ex10-7.htm" TargetMode="External"/><Relationship Id="rId36" Type="http://schemas.openxmlformats.org/officeDocument/2006/relationships/hyperlink" Target="https://www.sec.gov/Archives/edgar/data/2006986/000114036124035942/ef20033584_ex10-8.htm" TargetMode="External"/><Relationship Id="rId37" Type="http://schemas.openxmlformats.org/officeDocument/2006/relationships/hyperlink" Target="https://www.sec.gov/Archives/edgar/data/2006986/000114036124035942/ef20033584_ex10-8.htm" TargetMode="External"/><Relationship Id="rId38" Type="http://schemas.openxmlformats.org/officeDocument/2006/relationships/hyperlink" Target="https://www.sec.gov/Archives/edgar/data/2006986/000114036124035942/ef20033584_ex10-9.htm" TargetMode="External"/><Relationship Id="rId39" Type="http://schemas.openxmlformats.org/officeDocument/2006/relationships/hyperlink" Target="https://www.sec.gov/Archives/edgar/data/2006986/000114036124035942/ef20033584_ex10-9.htm" TargetMode="External"/><Relationship Id="rId40" Type="http://schemas.openxmlformats.org/officeDocument/2006/relationships/hyperlink" Target="https://www.sec.gov/Archives/edgar/data/2006986/000114036124035942/ef20033584_ex10-10.htm" TargetMode="External"/><Relationship Id="rId41" Type="http://schemas.openxmlformats.org/officeDocument/2006/relationships/hyperlink" Target="https://www.sec.gov/Archives/edgar/data/2006986/000114036124035942/ef20033584_ex10-10.htm" TargetMode="External"/><Relationship Id="rId42" Type="http://schemas.openxmlformats.org/officeDocument/2006/relationships/hyperlink" Target="https://www.sec.gov/Archives/edgar/data/2006986/000114036124035942/ef20033584_ex10-11.htm" TargetMode="External"/><Relationship Id="rId43" Type="http://schemas.openxmlformats.org/officeDocument/2006/relationships/hyperlink" Target="https://www.sec.gov/Archives/edgar/data/2006986/000114036124035942/ef20033584_ex10-11.htm" TargetMode="External"/><Relationship Id="rId44" Type="http://schemas.openxmlformats.org/officeDocument/2006/relationships/hyperlink" Target="https://www.sec.gov/Archives/edgar/data/2006986/000110465925099535/tm2528783d1_ex10-2.htm" TargetMode="External"/><Relationship Id="rId45" Type="http://schemas.openxmlformats.org/officeDocument/2006/relationships/hyperlink" Target="https://www.sec.gov/Archives/edgar/data/2006986/000110465925099535/tm2528783d1_ex10-2.htm" TargetMode="External"/><Relationship Id="rId46" Type="http://schemas.openxmlformats.org/officeDocument/2006/relationships/hyperlink" Target="https://www.sec.gov/Archives/edgar/data/2006986/000155837024016265/adgm-20241211xex10d2.htm" TargetMode="External"/><Relationship Id="rId47" Type="http://schemas.openxmlformats.org/officeDocument/2006/relationships/hyperlink" Target="https://www.sec.gov/Archives/edgar/data/2006986/000155837024016265/adgm-20241211xex10d2.htm" TargetMode="External"/><Relationship Id="rId48" Type="http://schemas.openxmlformats.org/officeDocument/2006/relationships/hyperlink" Target="https://www.sec.gov/Archives/edgar/data/2006986/000110465925110345/adgm-20250930xex10d1.htm" TargetMode="External"/><Relationship Id="rId49" Type="http://schemas.openxmlformats.org/officeDocument/2006/relationships/hyperlink" Target="https://www.sec.gov/Archives/edgar/data/2006986/000110465925110345/adgm-20250930xex10d1.htm" TargetMode="External"/><Relationship Id="rId50" Type="http://schemas.openxmlformats.org/officeDocument/2006/relationships/hyperlink" Target="https://www.sec.gov/Archives/edgar/data/2006986/000155837025003849/adgm-20241231xex10d24.htm" TargetMode="External"/><Relationship Id="rId51" Type="http://schemas.openxmlformats.org/officeDocument/2006/relationships/hyperlink" Target="https://www.sec.gov/Archives/edgar/data/2006986/000155837025003849/adgm-20241231xex10d24.htm" TargetMode="External"/><Relationship Id="rId52" Type="http://schemas.openxmlformats.org/officeDocument/2006/relationships/hyperlink" Target="https://www.sec.gov/Archives/edgar/data/2006986/000155837025003849/adgm-20241231xex19d1.htm" TargetMode="External"/><Relationship Id="rId53" Type="http://schemas.openxmlformats.org/officeDocument/2006/relationships/hyperlink" Target="https://www.sec.gov/Archives/edgar/data/2006986/000155837025003849/adgm-20241231xex19d1.htm" TargetMode="External"/><Relationship Id="rId54" Type="http://schemas.openxmlformats.org/officeDocument/2006/relationships/hyperlink" Target="https://www.sec.gov/Archives/edgar/data/2006986/000200698626000003/adgm-20251231xex32d1.htm" TargetMode="External"/><Relationship Id="rId55" Type="http://schemas.openxmlformats.org/officeDocument/2006/relationships/hyperlink" Target="https://www.sec.gov/Archives/edgar/data/2006986/000200698626000003/adgm-20251231xex32d1.htm" TargetMode="External"/><Relationship Id="rId56" Type="http://schemas.openxmlformats.org/officeDocument/2006/relationships/hyperlink" Target="https://www.sec.gov/Archives/edgar/data/2006986/000200698626000003/adgm-20251231xex32d2.htm" TargetMode="External"/><Relationship Id="rId57" Type="http://schemas.openxmlformats.org/officeDocument/2006/relationships/hyperlink" Target="https://www.sec.gov/Archives/edgar/data/2006986/000200698626000003/adgm-20251231xex32d2.htm" TargetMode="External"/><Relationship Id="rId58" Type="http://schemas.openxmlformats.org/officeDocument/2006/relationships/hyperlink" Target="https://www.sec.gov/Archives/edgar/data/2006986/000155837025003849/adgm-20241231xex97d1.htm" TargetMode="External"/><Relationship Id="rId59" Type="http://schemas.openxmlformats.org/officeDocument/2006/relationships/hyperlink" Target="https://www.sec.gov/Archives/edgar/data/2006986/000155837025003849/adgm-20241231xex97d1.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3213</Words>
  <Characters>17126</Characters>
  <CharactersWithSpaces>20307</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