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adgm-20260630x10q.htm"/>
        <w:bookmarkStart w:id="1" w:name="ksadgm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7812fea1_f798_46a7_bdc3_506df8da2786"/>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0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T6OhgypfnEWngq-m8cXMvQ_1_1"/>
      <w:bookmarkStart w:id="4" w:name="_a745b27e_dc78_4449_817d_c43c1b285b12"/>
      <w:bookmarkStart w:id="5" w:name="Tc_T6OhgypfnEWngq-m8cXMvQ_1_1"/>
      <w:bookmarkStart w:id="6" w:name="_a745b27e_dc78_4449_817d_c43c1b285b12"/>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Normal"/>
        <w:bidi w:val="0"/>
        <w:spacing w:before="0" w:after="0"/>
        <w:jc w:val="left"/>
        <w:rPr>
          <w:sz w:val="4"/>
          <w:szCs w:val="4"/>
        </w:rPr>
      </w:pPr>
      <w:r>
        <w:rPr>
          <w:sz w:val="4"/>
          <w:szCs w:val="4"/>
        </w:rPr>
      </w:r>
      <w:bookmarkStart w:id="7" w:name="Tc_3YHLFWq0GES2j5GZQb9vXg_1_1"/>
      <w:bookmarkStart w:id="8" w:name="_9d0a60a1_eeff_4218_87d9_1ce091eb64c0"/>
      <w:bookmarkStart w:id="9" w:name="Tc_3YHLFWq0GES2j5GZQb9vXg_1_1"/>
      <w:bookmarkStart w:id="10" w:name="_9d0a60a1_eeff_4218_87d9_1ce091eb64c0"/>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Commission file number: 001-42199</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ADAGIO MEDICAL HOLDINGS, INC.</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1" w:name="Tc_4fcCBfbNPE-p9e2A4ZwHDQ_8_2"/>
      <w:bookmarkStart w:id="12" w:name="Tc_xgFn7En-dkWPHhMCgSbgmQ_8_0"/>
      <w:bookmarkStart w:id="13" w:name="Tc_ShOjbfw5iE6vNBSJZsFLtQ_6_0"/>
      <w:bookmarkStart w:id="14" w:name="Tc_EWj-5YMBSU6P19NnE82XSQ_5_0"/>
      <w:bookmarkStart w:id="15" w:name="Tc_elleHmCQBUW47PMSrbfB3w_3_2"/>
      <w:bookmarkStart w:id="16" w:name="Tc_zodOP_9E5kKQyWuYtVXmzg_3_0"/>
      <w:bookmarkStart w:id="17" w:name="Tc_QYdcTwjhqkKk5zXH-AJbrA_2_2"/>
      <w:bookmarkStart w:id="18" w:name="Tc_V3sC02bLo0ecJ53qFs4MiA_2_0"/>
      <w:bookmarkStart w:id="19" w:name="_3a590d16_9dbd_4a5d_b364_20b544774104"/>
      <w:bookmarkStart w:id="20" w:name="Tc_4fcCBfbNPE-p9e2A4ZwHDQ_8_2"/>
      <w:bookmarkStart w:id="21" w:name="Tc_xgFn7En-dkWPHhMCgSbgmQ_8_0"/>
      <w:bookmarkStart w:id="22" w:name="Tc_ShOjbfw5iE6vNBSJZsFLtQ_6_0"/>
      <w:bookmarkStart w:id="23" w:name="Tc_EWj-5YMBSU6P19NnE82XSQ_5_0"/>
      <w:bookmarkStart w:id="24" w:name="Tc_elleHmCQBUW47PMSrbfB3w_3_2"/>
      <w:bookmarkStart w:id="25" w:name="Tc_zodOP_9E5kKQyWuYtVXmzg_3_0"/>
      <w:bookmarkStart w:id="26" w:name="Tc_QYdcTwjhqkKk5zXH-AJbrA_2_2"/>
      <w:bookmarkStart w:id="27" w:name="Tc_V3sC02bLo0ecJ53qFs4MiA_2_0"/>
      <w:bookmarkStart w:id="28" w:name="_3a590d16_9dbd_4a5d_b364_20b544774104"/>
      <w:bookmarkEnd w:id="20"/>
      <w:bookmarkEnd w:id="21"/>
      <w:bookmarkEnd w:id="22"/>
      <w:bookmarkEnd w:id="23"/>
      <w:bookmarkEnd w:id="24"/>
      <w:bookmarkEnd w:id="25"/>
      <w:bookmarkEnd w:id="26"/>
      <w:bookmarkEnd w:id="27"/>
      <w:bookmarkEnd w:id="28"/>
    </w:p>
    <w:tbl>
      <w:tblPr>
        <w:tblW w:w="4758" w:type="dxa"/>
        <w:jc w:val="left"/>
        <w:tblInd w:w="0" w:type="dxa"/>
        <w:tblLayout w:type="fixed"/>
        <w:tblCellMar>
          <w:top w:w="0" w:type="dxa"/>
          <w:left w:w="0" w:type="dxa"/>
          <w:bottom w:w="0" w:type="dxa"/>
          <w:right w:w="0" w:type="dxa"/>
        </w:tblCellMar>
      </w:tblPr>
      <w:tblGrid>
        <w:gridCol w:w="2926"/>
        <w:gridCol w:w="34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58010" cy="175260"/>
                      <wp:effectExtent l="0" t="0" r="0" b="0"/>
                      <wp:wrapNone/>
                      <wp:docPr id="3" name="Frame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175260"/>
                      <wp:effectExtent l="0" t="0" r="0" b="0"/>
                      <wp:wrapNone/>
                      <wp:docPr id="4" name="Frame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99-1151466</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26051 Merit Circle, Suite 102</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Laguna Hills, CA</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92653</w:t>
            </w:r>
          </w:p>
        </w:tc>
      </w:tr>
      <w:tr>
        <w:trPr/>
        <w:tc>
          <w:tcPr>
            <w:tcW w:w="2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(949) 348-1188</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9" w:name="Tc_MFVN-cR4FUGR-FJ5IPdR-g_1_4"/>
      <w:bookmarkStart w:id="30" w:name="Tc_zjBnPROZXUmmCkd3xVpvHQ_1_2"/>
      <w:bookmarkStart w:id="31" w:name="Tc_3AnesqIlIUKiD5PMUmwEQA_1_0"/>
      <w:bookmarkStart w:id="32" w:name="Tc_oA_Po_KHIE-mhb9-t0bfqQ_0_4"/>
      <w:bookmarkStart w:id="33" w:name="Tc__apZFhWwJ0mgnWWaKEp_Kw_0_2"/>
      <w:bookmarkStart w:id="34" w:name="_96cf80c9_aa71_4313_b027_4d9143187851"/>
      <w:bookmarkStart w:id="35" w:name="Tc_MFVN-cR4FUGR-FJ5IPdR-g_1_4"/>
      <w:bookmarkStart w:id="36" w:name="Tc_zjBnPROZXUmmCkd3xVpvHQ_1_2"/>
      <w:bookmarkStart w:id="37" w:name="Tc_3AnesqIlIUKiD5PMUmwEQA_1_0"/>
      <w:bookmarkStart w:id="38" w:name="Tc_oA_Po_KHIE-mhb9-t0bfqQ_0_4"/>
      <w:bookmarkStart w:id="39" w:name="Tc__apZFhWwJ0mgnWWaKEp_Kw_0_2"/>
      <w:bookmarkStart w:id="40" w:name="_96cf80c9_aa71_4313_b027_4d9143187851"/>
      <w:bookmarkEnd w:id="35"/>
      <w:bookmarkEnd w:id="36"/>
      <w:bookmarkEnd w:id="37"/>
      <w:bookmarkEnd w:id="38"/>
      <w:bookmarkEnd w:id="39"/>
      <w:bookmarkEnd w:id="40"/>
    </w:p>
    <w:tbl>
      <w:tblPr>
        <w:tblW w:w="6575" w:type="dxa"/>
        <w:jc w:val="left"/>
        <w:tblInd w:w="0" w:type="dxa"/>
        <w:tblLayout w:type="fixed"/>
        <w:tblCellMar>
          <w:top w:w="0" w:type="dxa"/>
          <w:left w:w="0" w:type="dxa"/>
          <w:bottom w:w="0" w:type="dxa"/>
          <w:right w:w="0" w:type="dxa"/>
        </w:tblCellMar>
      </w:tblPr>
      <w:tblGrid>
        <w:gridCol w:w="2641"/>
        <w:gridCol w:w="346"/>
        <w:gridCol w:w="826"/>
        <w:gridCol w:w="346"/>
        <w:gridCol w:w="2416"/>
      </w:tblGrid>
      <w:tr>
        <w:trPr/>
        <w:tc>
          <w:tcPr>
            <w:tcW w:w="2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46" w:type="dxa"/>
            <w:tcBorders/>
            <w:vAlign w:val="center"/>
          </w:tcPr>
          <w:p>
            <w:pPr>
              <w:pStyle w:val="TableContents"/>
              <w:bidi w:val="0"/>
              <w:spacing w:before="0" w:after="0"/>
              <w:ind w:left="0" w:right="0" w:hanging="0"/>
              <w:jc w:val="center"/>
              <w:rPr/>
            </w:pPr>
            <w:r>
              <w:rPr/>
              <w:t>  ​ ​ ​</w:t>
            </w:r>
          </w:p>
        </w:tc>
        <w:tc>
          <w:tcPr>
            <w:tcW w:w="24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vAlign w:val="center"/>
          </w:tcPr>
          <w:p>
            <w:pPr>
              <w:pStyle w:val="TableContents"/>
              <w:bidi w:val="0"/>
              <w:spacing w:before="0" w:after="0"/>
              <w:ind w:left="0" w:right="0" w:hanging="0"/>
              <w:jc w:val="center"/>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br/>
              <w:t>per share</w:t>
            </w:r>
          </w:p>
        </w:tc>
        <w:tc>
          <w:tcPr>
            <w:tcW w:w="34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ADGM</w:t>
            </w:r>
          </w:p>
        </w:tc>
        <w:tc>
          <w:tcPr>
            <w:tcW w:w="346" w:type="dxa"/>
            <w:tcBorders/>
            <w:vAlign w:val="center"/>
          </w:tcPr>
          <w:p>
            <w:pPr>
              <w:pStyle w:val="TableContents"/>
              <w:bidi w:val="0"/>
              <w:spacing w:before="0" w:after="0"/>
              <w:ind w:left="0" w:right="0" w:hanging="0"/>
              <w:jc w:val="center"/>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1" w:name="Tc_szB6i7SbPkeOtKPhkgJMfg_4_2"/>
      <w:bookmarkStart w:id="42" w:name="Tc_mbGETjGnmkCzn0ULZJfbhA_2_2"/>
      <w:bookmarkStart w:id="43" w:name="Tc_dPPujAlvB0GkAeQJLXAGGg_2_1"/>
      <w:bookmarkStart w:id="44" w:name="Tc_n3cwXy99qEy67FmghgSuXw_0_3"/>
      <w:bookmarkStart w:id="45" w:name="Tc_K1XHheofckSGf0IG2xLVKQ_0_2"/>
      <w:bookmarkStart w:id="46" w:name="Tc_-7LNGyJoikearEXXO3s__g_0_1"/>
      <w:bookmarkStart w:id="47" w:name="Tc_hwbTxT7ZEkqFXr9umkXucw_0_0"/>
      <w:bookmarkStart w:id="48" w:name="_0064e322_f64f_4288_b6a4_c098c2ed95e5"/>
      <w:bookmarkStart w:id="49" w:name="Tc_szB6i7SbPkeOtKPhkgJMfg_4_2"/>
      <w:bookmarkStart w:id="50" w:name="Tc_mbGETjGnmkCzn0ULZJfbhA_2_2"/>
      <w:bookmarkStart w:id="51" w:name="Tc_dPPujAlvB0GkAeQJLXAGGg_2_1"/>
      <w:bookmarkStart w:id="52" w:name="Tc_n3cwXy99qEy67FmghgSuXw_0_3"/>
      <w:bookmarkStart w:id="53" w:name="Tc_K1XHheofckSGf0IG2xLVKQ_0_2"/>
      <w:bookmarkStart w:id="54" w:name="Tc_-7LNGyJoikearEXXO3s__g_0_1"/>
      <w:bookmarkStart w:id="55" w:name="Tc_hwbTxT7ZEkqFXr9umkXucw_0_0"/>
      <w:bookmarkStart w:id="56" w:name="_0064e322_f64f_4288_b6a4_c098c2ed95e5"/>
      <w:bookmarkEnd w:id="49"/>
      <w:bookmarkEnd w:id="50"/>
      <w:bookmarkEnd w:id="51"/>
      <w:bookmarkEnd w:id="52"/>
      <w:bookmarkEnd w:id="53"/>
      <w:bookmarkEnd w:id="54"/>
      <w:bookmarkEnd w:id="55"/>
      <w:bookmarkEnd w:id="56"/>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August 10, 2026, there were 22,210,459 shares of common stock, $0.0001 par value, issued and outstanding.</w:t>
      </w:r>
    </w:p>
    <w:p>
      <w:pPr>
        <w:pStyle w:val="TextBody"/>
        <w:bidi w:val="0"/>
        <w:spacing w:before="0" w:after="48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 w:name="_c31f6419_1924_4d02_aab0_9d9a632ea8be"/>
      <w:bookmarkEnd w:id="57"/>
      <w:r>
        <w:rPr>
          <w:rFonts w:ascii="Times New Roman;Times;serif" w:hAnsi="Times New Roman;Times;serif"/>
          <w:b/>
          <w:sz w:val="20"/>
        </w:rPr>
        <w:t>ADAGIO MEDICAL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JUNE 30, 2026</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699"/>
        <w:gridCol w:w="8934"/>
        <w:gridCol w:w="572"/>
      </w:tblGrid>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3" w:type="dxa"/>
            <w:gridSpan w:val="2"/>
            <w:tcBorders/>
            <w:vAlign w:val="center"/>
          </w:tcPr>
          <w:p>
            <w:pPr>
              <w:pStyle w:val="TableContents"/>
              <w:bidi w:val="0"/>
              <w:spacing w:before="0" w:after="0"/>
              <w:ind w:left="0" w:right="0" w:hanging="0"/>
              <w:jc w:val="left"/>
              <w:rPr/>
            </w:pPr>
            <w:hyperlink w:anchor="PARTIFINANCIALINFORMATION_76804">
              <w:r>
                <w:rPr>
                  <w:rStyle w:val="InternetLink"/>
                  <w:rFonts w:ascii="Times New Roman;Times;serif" w:hAnsi="Times New Roman;Times;serif"/>
                  <w:b/>
                  <w:i w:val="false"/>
                  <w:caps w:val="false"/>
                  <w:smallCaps w:val="false"/>
                  <w:sz w:val="20"/>
                </w:rPr>
                <w:t>PART I: FINANCIAL INFORMATION</w:t>
              </w:r>
            </w:hyperlink>
          </w:p>
        </w:tc>
        <w:tc>
          <w:tcPr>
            <w:tcW w:w="57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934"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Income_STMT">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and six months ended June 30, 2026 and June 30,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Unaudited Condensed Consolidated Statements of Stockholders’ (Deficit) Equity for the three and six months ended June 30, 2026 and June 30,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June 30, 2025</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Item 2.</w:t>
              </w:r>
            </w:hyperlink>
          </w:p>
        </w:tc>
        <w:tc>
          <w:tcPr>
            <w:tcW w:w="8934"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3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Item 4.</w:t>
              </w:r>
            </w:hyperlink>
          </w:p>
        </w:tc>
        <w:tc>
          <w:tcPr>
            <w:tcW w:w="8934"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PARTIIOTHERINFORMATION_699286">
              <w:r>
                <w:rPr>
                  <w:rStyle w:val="InternetLink"/>
                  <w:rFonts w:ascii="Times New Roman;Times;serif" w:hAnsi="Times New Roman;Times;serif"/>
                  <w:b/>
                  <w:i w:val="false"/>
                  <w:caps w:val="false"/>
                  <w:smallCaps w:val="false"/>
                  <w:sz w:val="20"/>
                </w:rPr>
                <w:t>PART II: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Item 1.</w:t>
              </w:r>
            </w:hyperlink>
          </w:p>
        </w:tc>
        <w:tc>
          <w:tcPr>
            <w:tcW w:w="8934"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Item 1A.</w:t>
              </w:r>
            </w:hyperlink>
          </w:p>
        </w:tc>
        <w:tc>
          <w:tcPr>
            <w:tcW w:w="8934"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Item 2.</w:t>
              </w:r>
            </w:hyperlink>
          </w:p>
        </w:tc>
        <w:tc>
          <w:tcPr>
            <w:tcW w:w="8934"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Unregistered Sales of Equity Securities and Use of Proceeds from Registered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Item 3.</w:t>
              </w:r>
            </w:hyperlink>
          </w:p>
        </w:tc>
        <w:tc>
          <w:tcPr>
            <w:tcW w:w="8934"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Item 4.</w:t>
              </w:r>
            </w:hyperlink>
          </w:p>
        </w:tc>
        <w:tc>
          <w:tcPr>
            <w:tcW w:w="8934"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Item 5.</w:t>
              </w:r>
            </w:hyperlink>
          </w:p>
        </w:tc>
        <w:tc>
          <w:tcPr>
            <w:tcW w:w="8934"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99"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Item 6.</w:t>
              </w:r>
            </w:hyperlink>
          </w:p>
        </w:tc>
        <w:tc>
          <w:tcPr>
            <w:tcW w:w="8934"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99" w:type="dxa"/>
            <w:tcBorders/>
            <w:vAlign w:val="center"/>
          </w:tcPr>
          <w:p>
            <w:pPr>
              <w:pStyle w:val="TableContents"/>
              <w:bidi w:val="0"/>
              <w:spacing w:before="0" w:after="0"/>
              <w:ind w:left="0" w:right="0" w:hanging="0"/>
              <w:jc w:val="left"/>
              <w:rPr/>
            </w:pPr>
            <w:r>
              <w:rPr/>
              <w:t>​</w:t>
            </w:r>
          </w:p>
        </w:tc>
        <w:tc>
          <w:tcPr>
            <w:tcW w:w="8934"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SIGNATURES_342629">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 Bold" w:hAnsi="Times New Roman Bold"/>
          <w:b/>
          <w:caps/>
          <w:sz w:val="20"/>
        </w:rPr>
      </w:pPr>
      <w:bookmarkStart w:id="59" w:name="_9eacaba8_6867_4c97_82e0_bbc6e1f8ef6d"/>
      <w:bookmarkEnd w:id="59"/>
      <w:r>
        <w:rPr>
          <w:rFonts w:ascii="Times New Roman Bold" w:hAnsi="Times New Roman Bold"/>
          <w:b/>
          <w:caps/>
          <w:sz w:val="20"/>
        </w:rPr>
        <w:t>Cautionary Note Regarding Forward-Looking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our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develop innovative, proprietary products that address significant clinical needs in a manner that is safe and effective for patients and easy-to-use for physicians;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clearances or approvals;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demonstrate safety and effectiveness in our sponsored and third-party clinical trials;</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physician awareness;</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coverage and adequate reimbursement for procedures using our products;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skilled research, development, sales and clinical personnel;</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cost-effectively manufacture, market and sell our products;</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our market opportunity;</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scope of protection from intellectual property rights covering our products;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intellectual property or other proprietary rights;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and results from our clinical trials and other studies;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clearances and authorization from the FDA and regulators in other jurisdictions;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regulatory filings and feedback;</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markets we serve;</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reliability and performance of our products;</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benefits of our products to patients, providers, and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proposed tariffs on our business, including the impact on gross margins related to our international product sales and the impact of resulting economic uncertainty on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limited number of suppliers, including sole source suppliers, which may impact the availability of instruments and materials;</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or increase demand for our products;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costs and risks associated with our international operations and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our corporate prioritization initiative and our expectations regarding our ability to retain and recruit key personnel;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employees, including those with specialized skills and experience;</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strategic operations;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capital markets;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working capital requirements;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and needs for additional financing;</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and the cost of, federal, state, and foreign regulatory requirements;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continued listing standards of the Nasdaq Capital Market;</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trends and challenges in our business and the markets in which we operate; and</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p>
      <w:pPr>
        <w:pStyle w:val="TextBody"/>
        <w:pBdr/>
        <w:bidi w:val="0"/>
        <w:spacing w:before="0" w:after="0"/>
        <w:ind w:left="360" w:right="0" w:hanging="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References in this Quarterly Report on Form 10-Q to “we,” “us,” “ListCo” or the “Company” refer to Adagio Medical Holdings, Inc. and its consolidated subsidiaries at and after the consummation of the Business Combination (as defined below). References to our “management” or our “management team” refer to our officers and directors. We do not intend our use or display of other companies’ trade names or trademarks to imply an endorsement or sponsorship of us by such companies, or any relationship with any of these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announce material business and financial information to our investors using our investor relations website (investors.adagiomedical.com). We therefore encourage investors and others interested in Adagio Medical Holdings, Inc. to review the information that we make available on our website, in addition to following our filings with the Securities and Exchange Commission (the “SEC”) webcasts, press releases and conference calls.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0" w:name="PARTIFINANCIALINFORMATION_76804"/>
      <w:bookmarkStart w:id="61" w:name="_1e51f5fb_996a_4abb_95d5_d493aac6157f"/>
      <w:bookmarkEnd w:id="60"/>
      <w:bookmarkEnd w:id="61"/>
      <w:r>
        <w:rPr>
          <w:rFonts w:ascii="Times New Roman;Times;serif" w:hAnsi="Times New Roman;Times;serif"/>
          <w:b/>
          <w:sz w:val="20"/>
        </w:rPr>
        <w:t>PART I - FINANCIAL INFORMATION</w:t>
      </w:r>
    </w:p>
    <w:p>
      <w:pPr>
        <w:pStyle w:val="TextBody"/>
        <w:bidi w:val="0"/>
        <w:spacing w:before="120" w:after="0"/>
        <w:ind w:left="0" w:right="0" w:hanging="0"/>
        <w:jc w:val="left"/>
        <w:rPr>
          <w:rFonts w:ascii="Times New Roman;Times;serif" w:hAnsi="Times New Roman;Times;serif"/>
          <w:b/>
          <w:sz w:val="20"/>
        </w:rPr>
      </w:pPr>
      <w:bookmarkStart w:id="62" w:name="Item1CondensedConsolidatedFinancialState"/>
      <w:bookmarkEnd w:id="62"/>
      <w:r>
        <w:rPr>
          <w:rFonts w:ascii="Times New Roman;Times;serif" w:hAnsi="Times New Roman;Times;serif"/>
          <w:b/>
          <w:sz w:val="20"/>
        </w:rPr>
        <w:t>Item 1.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63" w:name="Balance_Sheet"/>
      <w:bookmarkStart w:id="64" w:name="Item1FinancialStatements_949025"/>
      <w:bookmarkEnd w:id="63"/>
      <w:bookmarkEnd w:id="64"/>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5" w:name="Tc_Bo0fwpq-NUex1Mg4IhwYfA_35_5"/>
      <w:bookmarkStart w:id="66" w:name="Tc_JyrHB-ccXUaCH9lP3vjXLA_35_2"/>
      <w:bookmarkStart w:id="67" w:name="Tc_A8ogb6hJI0CEG1Hs6S2cMw_35_0"/>
      <w:bookmarkStart w:id="68" w:name="Tc_N044Gsgr_0iWhaMEr_0IrQ_34_0"/>
      <w:bookmarkStart w:id="69" w:name="Tc_2H4n8UBjzUSnjs_FWawCNw_33_0"/>
      <w:bookmarkStart w:id="70" w:name="Tc_EWgBjQBx30aTy3UKtfUwEg_32_0"/>
      <w:bookmarkStart w:id="71" w:name="Tc_CAoPnmbhIUGwiQq1sy6V1w_31_0"/>
      <w:bookmarkStart w:id="72" w:name="Tc_4-mDnffSNkiNYSCwEEpLgg_30_0"/>
      <w:bookmarkStart w:id="73" w:name="Tc_atRP-AF300WNRvBcUjF_dQ_29_0"/>
      <w:bookmarkStart w:id="74" w:name="Tc_kyj5KbBdlUONC8Q8K2HyLw_28_0"/>
      <w:bookmarkStart w:id="75" w:name="Tc_QQR22Rjj4UG_Qvy34odHHQ_27_0"/>
      <w:bookmarkStart w:id="76" w:name="Tc_t7tZy7Q1f0CIhqIWunI04Q_26_0"/>
      <w:bookmarkStart w:id="77" w:name="Tc_VFSMab11fUWtOmk-BMaR6A_25_0"/>
      <w:bookmarkStart w:id="78" w:name="Tc_0_aJsHnefUGcvEJ_ZpO7JQ_24_0"/>
      <w:bookmarkStart w:id="79" w:name="Tc_hYKVD3BcM0mgZpYhDnr4dQ_23_0"/>
      <w:bookmarkStart w:id="80" w:name="Tc_-19tQGyvL0e6K1xkHDezCw_22_0"/>
      <w:bookmarkStart w:id="81" w:name="Tc_2n8Zm6vG10eURQoqQF8bmA_21_0"/>
      <w:bookmarkStart w:id="82" w:name="Tc_hCfNqC9YyEOVEG7C8Wr4gw_20_0"/>
      <w:bookmarkStart w:id="83" w:name="Tc_wCdGuEfJKEWvLyA9CFKhtg_19_5"/>
      <w:bookmarkStart w:id="84" w:name="Tc_EcucRbnNzUmp_OA0ysVxYQ_19_2"/>
      <w:bookmarkStart w:id="85" w:name="Tc_YJmJJE5_MUSKBwoOfJWayw_19_0"/>
      <w:bookmarkStart w:id="86" w:name="Tc_Fog-PWfzi0WYqkmSzNpWqA_18_0"/>
      <w:bookmarkStart w:id="87" w:name="Tc_OvgbEn2iX0i-PjE4Y3SCXQ_17_0"/>
      <w:bookmarkStart w:id="88" w:name="Tc_P-sNteq2TUeQ7CHv_2X4Hw_16_5"/>
      <w:bookmarkStart w:id="89" w:name="Tc_PTgs2iCHGE2Zd6fihpmsVQ_16_2"/>
      <w:bookmarkStart w:id="90" w:name="Tc_HEhmQuHwN0agsyEhbjkdzQ_16_0"/>
      <w:bookmarkStart w:id="91" w:name="Tc_LWve7n4ovUC9Pu5gzSraVw_15_3"/>
      <w:bookmarkStart w:id="92" w:name="Tc_DFdyDyx9bEGkeNJFUefC9A_15_0"/>
      <w:bookmarkStart w:id="93" w:name="Tc_z-sAzpAJ4k2a8pf6jfR2FA_14_0"/>
      <w:bookmarkStart w:id="94" w:name="Tc_LPdW69AKqkaKU2LJP2-pOg_13_0"/>
      <w:bookmarkStart w:id="95" w:name="Tc_C74bCiXd30Wtf2d-9RsguA_12_0"/>
      <w:bookmarkStart w:id="96" w:name="Tc_Zwb_NVBaxkmcC_HmLPbBQA_11_0"/>
      <w:bookmarkStart w:id="97" w:name="Tc_PMibbJRT1kSPS3FFW2EfpQ_10_0"/>
      <w:bookmarkStart w:id="98" w:name="Tc_DQhQerEYm06KvS32qsRpVQ_9_0"/>
      <w:bookmarkStart w:id="99" w:name="Tc_NMFdvjner0S2ZbIuzoFxyg_8_0"/>
      <w:bookmarkStart w:id="100" w:name="Tc_hTg7k32Sak2FyjGdoKveuQ_7_0"/>
      <w:bookmarkStart w:id="101" w:name="Tc_BD9VUJDvIE-RyG5pBArBgg_6_5"/>
      <w:bookmarkStart w:id="102" w:name="Tc_Iy9EE786ZkmKtCcSutKAaA_6_2"/>
      <w:bookmarkStart w:id="103" w:name="Tc_IMn9Qo8rIUSitBA5GOuWag_6_0"/>
      <w:bookmarkStart w:id="104" w:name="Tc_LPg-aRN9D0qMrUiS7Auu3A_5_0"/>
      <w:bookmarkStart w:id="105" w:name="Tc_nPHc49Vw5kSGMHJjUaRgLQ_4_0"/>
      <w:bookmarkStart w:id="106" w:name="Tc_gMs0ZM9GNkac3iPUGb-d6A_3_2"/>
      <w:bookmarkStart w:id="107" w:name="Tc_O50Wc_FXlUC6vF1NTQiSQw_2_5"/>
      <w:bookmarkStart w:id="108" w:name="Tc_779q6IGKMk26TeGQa9rk-Q_2_2"/>
      <w:bookmarkStart w:id="109" w:name="Tc_y-ELbzRyyESe1phEmiq2rg_1_5"/>
      <w:bookmarkStart w:id="110" w:name="Tc_9IFR29Hjvk6MNtiBgAvwcw_1_2"/>
      <w:bookmarkStart w:id="111" w:name="_d8612756_de90_477e_a1c9_219edbea5961"/>
      <w:bookmarkStart w:id="112" w:name="Tc_Bo0fwpq-NUex1Mg4IhwYfA_35_5"/>
      <w:bookmarkStart w:id="113" w:name="Tc_JyrHB-ccXUaCH9lP3vjXLA_35_2"/>
      <w:bookmarkStart w:id="114" w:name="Tc_A8ogb6hJI0CEG1Hs6S2cMw_35_0"/>
      <w:bookmarkStart w:id="115" w:name="Tc_N044Gsgr_0iWhaMEr_0IrQ_34_0"/>
      <w:bookmarkStart w:id="116" w:name="Tc_2H4n8UBjzUSnjs_FWawCNw_33_0"/>
      <w:bookmarkStart w:id="117" w:name="Tc_EWgBjQBx30aTy3UKtfUwEg_32_0"/>
      <w:bookmarkStart w:id="118" w:name="Tc_CAoPnmbhIUGwiQq1sy6V1w_31_0"/>
      <w:bookmarkStart w:id="119" w:name="Tc_4-mDnffSNkiNYSCwEEpLgg_30_0"/>
      <w:bookmarkStart w:id="120" w:name="Tc_atRP-AF300WNRvBcUjF_dQ_29_0"/>
      <w:bookmarkStart w:id="121" w:name="Tc_kyj5KbBdlUONC8Q8K2HyLw_28_0"/>
      <w:bookmarkStart w:id="122" w:name="Tc_QQR22Rjj4UG_Qvy34odHHQ_27_0"/>
      <w:bookmarkStart w:id="123" w:name="Tc_t7tZy7Q1f0CIhqIWunI04Q_26_0"/>
      <w:bookmarkStart w:id="124" w:name="Tc_VFSMab11fUWtOmk-BMaR6A_25_0"/>
      <w:bookmarkStart w:id="125" w:name="Tc_0_aJsHnefUGcvEJ_ZpO7JQ_24_0"/>
      <w:bookmarkStart w:id="126" w:name="Tc_hYKVD3BcM0mgZpYhDnr4dQ_23_0"/>
      <w:bookmarkStart w:id="127" w:name="Tc_-19tQGyvL0e6K1xkHDezCw_22_0"/>
      <w:bookmarkStart w:id="128" w:name="Tc_2n8Zm6vG10eURQoqQF8bmA_21_0"/>
      <w:bookmarkStart w:id="129" w:name="Tc_hCfNqC9YyEOVEG7C8Wr4gw_20_0"/>
      <w:bookmarkStart w:id="130" w:name="Tc_wCdGuEfJKEWvLyA9CFKhtg_19_5"/>
      <w:bookmarkStart w:id="131" w:name="Tc_EcucRbnNzUmp_OA0ysVxYQ_19_2"/>
      <w:bookmarkStart w:id="132" w:name="Tc_YJmJJE5_MUSKBwoOfJWayw_19_0"/>
      <w:bookmarkStart w:id="133" w:name="Tc_Fog-PWfzi0WYqkmSzNpWqA_18_0"/>
      <w:bookmarkStart w:id="134" w:name="Tc_OvgbEn2iX0i-PjE4Y3SCXQ_17_0"/>
      <w:bookmarkStart w:id="135" w:name="Tc_P-sNteq2TUeQ7CHv_2X4Hw_16_5"/>
      <w:bookmarkStart w:id="136" w:name="Tc_PTgs2iCHGE2Zd6fihpmsVQ_16_2"/>
      <w:bookmarkStart w:id="137" w:name="Tc_HEhmQuHwN0agsyEhbjkdzQ_16_0"/>
      <w:bookmarkStart w:id="138" w:name="Tc_LWve7n4ovUC9Pu5gzSraVw_15_3"/>
      <w:bookmarkStart w:id="139" w:name="Tc_DFdyDyx9bEGkeNJFUefC9A_15_0"/>
      <w:bookmarkStart w:id="140" w:name="Tc_z-sAzpAJ4k2a8pf6jfR2FA_14_0"/>
      <w:bookmarkStart w:id="141" w:name="Tc_LPdW69AKqkaKU2LJP2-pOg_13_0"/>
      <w:bookmarkStart w:id="142" w:name="Tc_C74bCiXd30Wtf2d-9RsguA_12_0"/>
      <w:bookmarkStart w:id="143" w:name="Tc_Zwb_NVBaxkmcC_HmLPbBQA_11_0"/>
      <w:bookmarkStart w:id="144" w:name="Tc_PMibbJRT1kSPS3FFW2EfpQ_10_0"/>
      <w:bookmarkStart w:id="145" w:name="Tc_DQhQerEYm06KvS32qsRpVQ_9_0"/>
      <w:bookmarkStart w:id="146" w:name="Tc_NMFdvjner0S2ZbIuzoFxyg_8_0"/>
      <w:bookmarkStart w:id="147" w:name="Tc_hTg7k32Sak2FyjGdoKveuQ_7_0"/>
      <w:bookmarkStart w:id="148" w:name="Tc_BD9VUJDvIE-RyG5pBArBgg_6_5"/>
      <w:bookmarkStart w:id="149" w:name="Tc_Iy9EE786ZkmKtCcSutKAaA_6_2"/>
      <w:bookmarkStart w:id="150" w:name="Tc_IMn9Qo8rIUSitBA5GOuWag_6_0"/>
      <w:bookmarkStart w:id="151" w:name="Tc_LPg-aRN9D0qMrUiS7Auu3A_5_0"/>
      <w:bookmarkStart w:id="152" w:name="Tc_nPHc49Vw5kSGMHJjUaRgLQ_4_0"/>
      <w:bookmarkStart w:id="153" w:name="Tc_gMs0ZM9GNkac3iPUGb-d6A_3_2"/>
      <w:bookmarkStart w:id="154" w:name="Tc_O50Wc_FXlUC6vF1NTQiSQw_2_5"/>
      <w:bookmarkStart w:id="155" w:name="Tc_779q6IGKMk26TeGQa9rk-Q_2_2"/>
      <w:bookmarkStart w:id="156" w:name="Tc_y-ELbzRyyESe1phEmiq2rg_1_5"/>
      <w:bookmarkStart w:id="157" w:name="Tc_9IFR29Hjvk6MNtiBgAvwcw_1_2"/>
      <w:bookmarkStart w:id="158" w:name="_d8612756_de90_477e_a1c9_219edbea59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640"/>
        <w:gridCol w:w="346"/>
        <w:gridCol w:w="196"/>
        <w:gridCol w:w="777"/>
        <w:gridCol w:w="109"/>
        <w:gridCol w:w="238"/>
        <w:gridCol w:w="899"/>
      </w:tblGrid>
      <w:tr>
        <w:trPr/>
        <w:tc>
          <w:tcPr>
            <w:tcW w:w="7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851400" cy="175260"/>
                      <wp:effectExtent l="0" t="0" r="0" b="0"/>
                      <wp:wrapNone/>
                      <wp:docPr id="5" name="Frame5"/>
                      <a:graphic xmlns:a="http://schemas.openxmlformats.org/drawingml/2006/main">
                        <a:graphicData uri="http://schemas.microsoft.com/office/word/2010/wordprocessingShape">
                          <wps:wsp>
                            <wps:cNvSpPr txBox="1"/>
                            <wps:spPr>
                              <a:xfrm>
                                <a:off x="0" y="0"/>
                                <a:ext cx="4851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3395" cy="175260"/>
                      <wp:effectExtent l="0" t="0" r="0" b="0"/>
                      <wp:wrapNone/>
                      <wp:docPr id="8" name="Frame8"/>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1130" cy="175260"/>
                      <wp:effectExtent l="0" t="0" r="0" b="0"/>
                      <wp:wrapNone/>
                      <wp:docPr id="10" name="Frame1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0865" cy="175260"/>
                      <wp:effectExtent l="0" t="0" r="0" b="0"/>
                      <wp:wrapNone/>
                      <wp:docPr id="11" name="Frame1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109" w:type="dxa"/>
            <w:tcBorders/>
            <w:vAlign w:val="center"/>
          </w:tcPr>
          <w:p>
            <w:pPr>
              <w:pStyle w:val="TableContents"/>
              <w:bidi w:val="0"/>
              <w:spacing w:before="0" w:after="0"/>
              <w:ind w:left="0" w:right="0" w:hanging="0"/>
              <w:jc w:val="center"/>
              <w:rPr/>
            </w:pPr>
            <w:r>
              <w:rPr/>
              <w:t>​</w:t>
            </w:r>
          </w:p>
        </w:tc>
        <w:tc>
          <w:tcPr>
            <w:tcW w:w="1137" w:type="dxa"/>
            <w:gridSpan w:val="2"/>
            <w:tcBorders/>
            <w:vAlign w:val="center"/>
          </w:tcPr>
          <w:p>
            <w:pPr>
              <w:pStyle w:val="TableContents"/>
              <w:bidi w:val="0"/>
              <w:spacing w:before="0" w:after="0"/>
              <w:ind w:left="0" w:right="0" w:hanging="0"/>
              <w:jc w:val="center"/>
              <w:rPr/>
            </w:pPr>
            <w:r>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7,740</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17,105</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1,986</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10,689</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20,082</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1,132</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33,884</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43,253</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(deficit)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6,634</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6,996</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7,562</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8,233</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long-term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payable,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24,836</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21,040</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34,299</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30,851</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(deficit)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210,000,000</w:t>
            </w:r>
            <w:r>
              <w:rPr>
                <w:rFonts w:ascii="Times New Roman;Times;serif" w:hAnsi="Times New Roman;Times;serif"/>
                <w:sz w:val="20"/>
              </w:rPr>
              <w:t xml:space="preserve"> </w:t>
            </w:r>
            <w:r>
              <w:rPr>
                <w:rFonts w:ascii="Times New Roman;Times;serif" w:hAnsi="Times New Roman;Times;serif"/>
                <w:sz w:val="16"/>
              </w:rPr>
              <w:t>shares authorized at June 30, 2026 and December 31, 2025; 22,210,459</w:t>
            </w:r>
            <w:r>
              <w:rPr>
                <w:rFonts w:ascii="Times New Roman;Times;serif" w:hAnsi="Times New Roman;Times;serif"/>
                <w:sz w:val="20"/>
              </w:rPr>
              <w:t xml:space="preserve"> </w:t>
            </w:r>
            <w:r>
              <w:rPr>
                <w:rFonts w:ascii="Times New Roman;Times;serif" w:hAnsi="Times New Roman;Times;serif"/>
                <w:sz w:val="16"/>
              </w:rPr>
              <w:t>and 22,210,459</w:t>
            </w:r>
            <w:r>
              <w:rPr>
                <w:rFonts w:ascii="Times New Roman;Times;serif" w:hAnsi="Times New Roman;Times;serif"/>
                <w:sz w:val="20"/>
              </w:rPr>
              <w:t xml:space="preserve"> </w:t>
            </w:r>
            <w:r>
              <w:rPr>
                <w:rFonts w:ascii="Times New Roman;Times;serif" w:hAnsi="Times New Roman;Times;serif"/>
                <w:sz w:val="16"/>
              </w:rPr>
              <w:t xml:space="preserve">shares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at June 30, 2026 and </w:t>
            </w:r>
            <w:r>
              <w:rPr>
                <w:rFonts w:ascii="Times New Roman;Times;serif" w:hAnsi="Times New Roman;Times;serif"/>
                <w:b w:val="false"/>
                <w:i w:val="false"/>
                <w:caps w:val="false"/>
                <w:smallCaps w:val="false"/>
                <w:sz w:val="16"/>
              </w:rPr>
              <w:t>December 31, 2025</w:t>
            </w:r>
            <w:r>
              <w:rPr>
                <w:rFonts w:ascii="Times New Roman;Times;serif" w:hAnsi="Times New Roman;Times;serif"/>
                <w:sz w:val="16"/>
              </w:rPr>
              <w:t>,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108,976</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108,108</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(109,403)</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(95,609)</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(deficit)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12,402</w:t>
            </w:r>
          </w:p>
        </w:tc>
      </w:tr>
      <w:tr>
        <w:trPr/>
        <w:tc>
          <w:tcPr>
            <w:tcW w:w="76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(deficit)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33,884</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43,253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9" w:name="_389172bc_d81c_478b_aa20_2a3070db3313"/>
      <w:bookmarkEnd w:id="159"/>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160" w:name="Income_STMT"/>
      <w:bookmarkEnd w:id="160"/>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161" w:name="Tc_8u3Y3AA2-EKIEt2AC23Wng_24_0"/>
      <w:bookmarkStart w:id="162" w:name="Tc_oTJT7UAKX06Cw2306gYGNg_23_12"/>
      <w:bookmarkStart w:id="163" w:name="Tc_cre5AFBF_0OKz-xM6pUjtA_23_9"/>
      <w:bookmarkStart w:id="164" w:name="Tc_ossqtIZUV0eogbNCkwndbw_23_5"/>
      <w:bookmarkStart w:id="165" w:name="Tc_z-cUzFNCPkCW11Y5D46GaA_23_2"/>
      <w:bookmarkStart w:id="166" w:name="Tc_l81HB-h3skCvB7OboPGk5g_23_0"/>
      <w:bookmarkStart w:id="167" w:name="Tc_l0QnsiiwgkSpfdouapFwrA_22_12"/>
      <w:bookmarkStart w:id="168" w:name="Tc_ZBqLXotGL0SQoZNm0YBnJw_22_9"/>
      <w:bookmarkStart w:id="169" w:name="Tc_FEMTfrdrwEao-4WSwj-cfg_22_5"/>
      <w:bookmarkStart w:id="170" w:name="Tc_hiI3FIOejUOQxw9d_CMykg_22_2"/>
      <w:bookmarkStart w:id="171" w:name="Tc_QOr0c6VVOUKMDd5BXqo1jg_22_0"/>
      <w:bookmarkStart w:id="172" w:name="Tc_cOMWoKtzPEymNec528YClA_20_12"/>
      <w:bookmarkStart w:id="173" w:name="Tc_iLdkHx4bnE6tdK3IgfzDVA_20_9"/>
      <w:bookmarkStart w:id="174" w:name="Tc_ThJN3k4oZk67VUsf-WOzoQ_20_5"/>
      <w:bookmarkStart w:id="175" w:name="Tc_OYBpaxcVXE2EZZx9LM83Dg_20_2"/>
      <w:bookmarkStart w:id="176" w:name="Tc_bVCb_yDABUGzl6C2nOfaig_20_0"/>
      <w:bookmarkStart w:id="177" w:name="Tc_fM4YKSbZLE2xdVSQ_gllvg_19_0"/>
      <w:bookmarkStart w:id="178" w:name="Tc_YkCMKpfS202jLG9q_W9OCA_18_0"/>
      <w:bookmarkStart w:id="179" w:name="Tc_Ek1IZpUCmUWoMe0LMQqOlQ_17_12"/>
      <w:bookmarkStart w:id="180" w:name="Tc_wMcCix-8xkuxLDRPqKH0aw_17_9"/>
      <w:bookmarkStart w:id="181" w:name="Tc_su-FZSXrT0GCPSE0PCc_DQ_17_5"/>
      <w:bookmarkStart w:id="182" w:name="Tc_MVDiOm4IMku4vbgsXbpCjg_17_2"/>
      <w:bookmarkStart w:id="183" w:name="Tc_pOH-E1ty30ubXQ3GamTpcg_17_0"/>
      <w:bookmarkStart w:id="184" w:name="Tc_1bbInSZ1nEKgHLVWQ4iJmA_16_0"/>
      <w:bookmarkStart w:id="185" w:name="Tc_mQjbYJhAxUuZVWH9pXCO-w_15_0"/>
      <w:bookmarkStart w:id="186" w:name="Tc_GHxk0eiHCUODJ9VL37dcRA_14_0"/>
      <w:bookmarkStart w:id="187" w:name="Tc_84jmSVk2fUeOj4d8mJaDoQ_13_0"/>
      <w:bookmarkStart w:id="188" w:name="Tc_wF04PexO2kGdVchKiCEllg_12_0"/>
      <w:bookmarkStart w:id="189" w:name="Tc_n4R_UUwtQkCp4r8Zj4DODQ_11_0"/>
      <w:bookmarkStart w:id="190" w:name="Tc_Fquha4D_NUKI4FZ0BBUwiQ_10_0"/>
      <w:bookmarkStart w:id="191" w:name="Tc_6aTr1Qfp4UGOg1ARiXsLkw_9_0"/>
      <w:bookmarkStart w:id="192" w:name="Tc_sZRHSXLsAEyziiMhj4TFlg_8_0"/>
      <w:bookmarkStart w:id="193" w:name="Tc_lZR3I29MWEqIFO2sg5KYeA_7_0"/>
      <w:bookmarkStart w:id="194" w:name="Tc_wFyfRXHLNkqme4UqUuyAAA_6_0"/>
      <w:bookmarkStart w:id="195" w:name="Tc_pWijUOTyc0mGqynITrgx4A_5_10"/>
      <w:bookmarkStart w:id="196" w:name="Tc_afP3bRWIdkesb4RZTfoCDw_5_3"/>
      <w:bookmarkStart w:id="197" w:name="Tc_FzHTTsIBFEazjO4xD2pkfw_5_0"/>
      <w:bookmarkStart w:id="198" w:name="Tc_04M_Dcks_UuBpE6cVnaZEw_4_0"/>
      <w:bookmarkStart w:id="199" w:name="Tc_1F-gjDa0PkqepE4S0phOfg_3_13"/>
      <w:bookmarkStart w:id="200" w:name="Tc_8BCZQl1tG0uLjmdP33mWIA_3_12"/>
      <w:bookmarkStart w:id="201" w:name="Tc_SHYCpqHaOkiDAWTZQNiCUg_3_10"/>
      <w:bookmarkStart w:id="202" w:name="Tc_aPOV6_zL_0-L6M1Oilyj6Q_3_9"/>
      <w:bookmarkStart w:id="203" w:name="Tc_7IKOqiHTsECZ7m5lLuLX9A_3_6"/>
      <w:bookmarkStart w:id="204" w:name="Tc_j3RSj4bNIE6xsELg2kptRQ_3_5"/>
      <w:bookmarkStart w:id="205" w:name="Tc_uW0VOH1UbEWOy37ovAl-yQ_3_3"/>
      <w:bookmarkStart w:id="206" w:name="Tc_kmGu91HYRkWsPKy-MGmtHA_3_2"/>
      <w:bookmarkStart w:id="207" w:name="Tc_RO_q4_vujkG1_v9TYcjDMQ_3_0"/>
      <w:bookmarkStart w:id="208" w:name="Tc_jOnQEWA5GUynWR5IpM9uuw_2_12"/>
      <w:bookmarkStart w:id="209" w:name="Tc_l1mgdfxlLke0MO3VuCoKsg_2_9"/>
      <w:bookmarkStart w:id="210" w:name="Tc_bvuAPZmv3Uq3Tfu8IRH4bA_2_5"/>
      <w:bookmarkStart w:id="211" w:name="Tc_3Z9kgUzRyUe0czb6WXVo2A_2_2"/>
      <w:bookmarkStart w:id="212" w:name="Tc_l0g5CeDn50-mvIcXF_1vzQ_1_9"/>
      <w:bookmarkStart w:id="213" w:name="Tc_XBXVpbw8VkGNwj0CoLFihg_1_2"/>
      <w:bookmarkStart w:id="214" w:name="_da23ddce_c47a_4f23_b776_80bc537cdc95"/>
      <w:bookmarkStart w:id="215" w:name="Tc_8u3Y3AA2-EKIEt2AC23Wng_24_0"/>
      <w:bookmarkStart w:id="216" w:name="Tc_oTJT7UAKX06Cw2306gYGNg_23_12"/>
      <w:bookmarkStart w:id="217" w:name="Tc_cre5AFBF_0OKz-xM6pUjtA_23_9"/>
      <w:bookmarkStart w:id="218" w:name="Tc_ossqtIZUV0eogbNCkwndbw_23_5"/>
      <w:bookmarkStart w:id="219" w:name="Tc_z-cUzFNCPkCW11Y5D46GaA_23_2"/>
      <w:bookmarkStart w:id="220" w:name="Tc_l81HB-h3skCvB7OboPGk5g_23_0"/>
      <w:bookmarkStart w:id="221" w:name="Tc_l0QnsiiwgkSpfdouapFwrA_22_12"/>
      <w:bookmarkStart w:id="222" w:name="Tc_ZBqLXotGL0SQoZNm0YBnJw_22_9"/>
      <w:bookmarkStart w:id="223" w:name="Tc_FEMTfrdrwEao-4WSwj-cfg_22_5"/>
      <w:bookmarkStart w:id="224" w:name="Tc_hiI3FIOejUOQxw9d_CMykg_22_2"/>
      <w:bookmarkStart w:id="225" w:name="Tc_QOr0c6VVOUKMDd5BXqo1jg_22_0"/>
      <w:bookmarkStart w:id="226" w:name="Tc_cOMWoKtzPEymNec528YClA_20_12"/>
      <w:bookmarkStart w:id="227" w:name="Tc_iLdkHx4bnE6tdK3IgfzDVA_20_9"/>
      <w:bookmarkStart w:id="228" w:name="Tc_ThJN3k4oZk67VUsf-WOzoQ_20_5"/>
      <w:bookmarkStart w:id="229" w:name="Tc_OYBpaxcVXE2EZZx9LM83Dg_20_2"/>
      <w:bookmarkStart w:id="230" w:name="Tc_bVCb_yDABUGzl6C2nOfaig_20_0"/>
      <w:bookmarkStart w:id="231" w:name="Tc_fM4YKSbZLE2xdVSQ_gllvg_19_0"/>
      <w:bookmarkStart w:id="232" w:name="Tc_YkCMKpfS202jLG9q_W9OCA_18_0"/>
      <w:bookmarkStart w:id="233" w:name="Tc_Ek1IZpUCmUWoMe0LMQqOlQ_17_12"/>
      <w:bookmarkStart w:id="234" w:name="Tc_wMcCix-8xkuxLDRPqKH0aw_17_9"/>
      <w:bookmarkStart w:id="235" w:name="Tc_su-FZSXrT0GCPSE0PCc_DQ_17_5"/>
      <w:bookmarkStart w:id="236" w:name="Tc_MVDiOm4IMku4vbgsXbpCjg_17_2"/>
      <w:bookmarkStart w:id="237" w:name="Tc_pOH-E1ty30ubXQ3GamTpcg_17_0"/>
      <w:bookmarkStart w:id="238" w:name="Tc_1bbInSZ1nEKgHLVWQ4iJmA_16_0"/>
      <w:bookmarkStart w:id="239" w:name="Tc_mQjbYJhAxUuZVWH9pXCO-w_15_0"/>
      <w:bookmarkStart w:id="240" w:name="Tc_GHxk0eiHCUODJ9VL37dcRA_14_0"/>
      <w:bookmarkStart w:id="241" w:name="Tc_84jmSVk2fUeOj4d8mJaDoQ_13_0"/>
      <w:bookmarkStart w:id="242" w:name="Tc_wF04PexO2kGdVchKiCEllg_12_0"/>
      <w:bookmarkStart w:id="243" w:name="Tc_n4R_UUwtQkCp4r8Zj4DODQ_11_0"/>
      <w:bookmarkStart w:id="244" w:name="Tc_Fquha4D_NUKI4FZ0BBUwiQ_10_0"/>
      <w:bookmarkStart w:id="245" w:name="Tc_6aTr1Qfp4UGOg1ARiXsLkw_9_0"/>
      <w:bookmarkStart w:id="246" w:name="Tc_sZRHSXLsAEyziiMhj4TFlg_8_0"/>
      <w:bookmarkStart w:id="247" w:name="Tc_lZR3I29MWEqIFO2sg5KYeA_7_0"/>
      <w:bookmarkStart w:id="248" w:name="Tc_wFyfRXHLNkqme4UqUuyAAA_6_0"/>
      <w:bookmarkStart w:id="249" w:name="Tc_pWijUOTyc0mGqynITrgx4A_5_10"/>
      <w:bookmarkStart w:id="250" w:name="Tc_afP3bRWIdkesb4RZTfoCDw_5_3"/>
      <w:bookmarkStart w:id="251" w:name="Tc_FzHTTsIBFEazjO4xD2pkfw_5_0"/>
      <w:bookmarkStart w:id="252" w:name="Tc_04M_Dcks_UuBpE6cVnaZEw_4_0"/>
      <w:bookmarkStart w:id="253" w:name="Tc_1F-gjDa0PkqepE4S0phOfg_3_13"/>
      <w:bookmarkStart w:id="254" w:name="Tc_8BCZQl1tG0uLjmdP33mWIA_3_12"/>
      <w:bookmarkStart w:id="255" w:name="Tc_SHYCpqHaOkiDAWTZQNiCUg_3_10"/>
      <w:bookmarkStart w:id="256" w:name="Tc_aPOV6_zL_0-L6M1Oilyj6Q_3_9"/>
      <w:bookmarkStart w:id="257" w:name="Tc_7IKOqiHTsECZ7m5lLuLX9A_3_6"/>
      <w:bookmarkStart w:id="258" w:name="Tc_j3RSj4bNIE6xsELg2kptRQ_3_5"/>
      <w:bookmarkStart w:id="259" w:name="Tc_uW0VOH1UbEWOy37ovAl-yQ_3_3"/>
      <w:bookmarkStart w:id="260" w:name="Tc_kmGu91HYRkWsPKy-MGmtHA_3_2"/>
      <w:bookmarkStart w:id="261" w:name="Tc_RO_q4_vujkG1_v9TYcjDMQ_3_0"/>
      <w:bookmarkStart w:id="262" w:name="Tc_jOnQEWA5GUynWR5IpM9uuw_2_12"/>
      <w:bookmarkStart w:id="263" w:name="Tc_l1mgdfxlLke0MO3VuCoKsg_2_9"/>
      <w:bookmarkStart w:id="264" w:name="Tc_bvuAPZmv3Uq3Tfu8IRH4bA_2_5"/>
      <w:bookmarkStart w:id="265" w:name="Tc_3Z9kgUzRyUe0czb6WXVo2A_2_2"/>
      <w:bookmarkStart w:id="266" w:name="Tc_l0g5CeDn50-mvIcXF_1vzQ_1_9"/>
      <w:bookmarkStart w:id="267" w:name="Tc_XBXVpbw8VkGNwj0CoLFihg_1_2"/>
      <w:bookmarkStart w:id="268" w:name="_da23ddce_c47a_4f23_b776_80bc537cdc95"/>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10205" w:type="dxa"/>
        <w:jc w:val="left"/>
        <w:tblInd w:w="0" w:type="dxa"/>
        <w:tblLayout w:type="fixed"/>
        <w:tblCellMar>
          <w:top w:w="0" w:type="dxa"/>
          <w:left w:w="0" w:type="dxa"/>
          <w:bottom w:w="0" w:type="dxa"/>
          <w:right w:w="0" w:type="dxa"/>
        </w:tblCellMar>
      </w:tblPr>
      <w:tblGrid>
        <w:gridCol w:w="4113"/>
        <w:gridCol w:w="346"/>
        <w:gridCol w:w="196"/>
        <w:gridCol w:w="916"/>
        <w:gridCol w:w="346"/>
        <w:gridCol w:w="196"/>
        <w:gridCol w:w="916"/>
        <w:gridCol w:w="226"/>
        <w:gridCol w:w="226"/>
        <w:gridCol w:w="196"/>
        <w:gridCol w:w="916"/>
        <w:gridCol w:w="346"/>
        <w:gridCol w:w="196"/>
        <w:gridCol w:w="916"/>
        <w:gridCol w:w="154"/>
      </w:tblGrid>
      <w:tr>
        <w:trPr/>
        <w:tc>
          <w:tcPr>
            <w:tcW w:w="4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611755" cy="175260"/>
                      <wp:effectExtent l="0" t="0" r="0" b="0"/>
                      <wp:wrapNone/>
                      <wp:docPr id="12" name="Frame12"/>
                      <a:graphic xmlns:a="http://schemas.openxmlformats.org/drawingml/2006/main">
                        <a:graphicData uri="http://schemas.microsoft.com/office/word/2010/wordprocessingShape">
                          <wps:wsp>
                            <wps:cNvSpPr txBox="1"/>
                            <wps:spPr>
                              <a:xfrm>
                                <a:off x="0" y="0"/>
                                <a:ext cx="261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3510" cy="175260"/>
                      <wp:effectExtent l="0" t="0" r="0" b="0"/>
                      <wp:wrapNone/>
                      <wp:docPr id="1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20" name="Frame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2"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5"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175260"/>
                      <wp:effectExtent l="0" t="0" r="0" b="0"/>
                      <wp:wrapNone/>
                      <wp:docPr id="26" name="Frame2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and 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5,630</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2,404</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revenue and 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4,717</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12,201</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(4,717)</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fair value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1,427</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 fair value adjustment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 income,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(3,947)</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(3,986)</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(11,760)</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net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(0.26)</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(0.76)</w:t>
            </w:r>
          </w:p>
        </w:tc>
        <w:tc>
          <w:tcPr>
            <w:tcW w:w="154" w:type="dxa"/>
            <w:tcBorders/>
            <w:vAlign w:val="center"/>
          </w:tcPr>
          <w:p>
            <w:pPr>
              <w:pStyle w:val="TableContents"/>
              <w:bidi w:val="0"/>
              <w:spacing w:before="0" w:after="0"/>
              <w:ind w:left="0" w:right="0" w:hanging="0"/>
              <w:jc w:val="left"/>
              <w:rPr/>
            </w:pPr>
            <w:r>
              <w:rPr/>
              <w:t>​</w:t>
            </w:r>
          </w:p>
        </w:tc>
      </w:tr>
      <w:tr>
        <w:trPr/>
        <w:tc>
          <w:tcPr>
            <w:tcW w:w="41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(0.35)</w:t>
            </w:r>
          </w:p>
        </w:tc>
        <w:tc>
          <w:tcPr>
            <w:tcW w:w="2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shares used to compute net loss per common share,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15,381,565</w:t>
            </w:r>
          </w:p>
        </w:tc>
        <w:tc>
          <w:tcPr>
            <w:tcW w:w="2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15,378,543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69" w:name="SOE"/>
      <w:bookmarkStart w:id="270" w:name="_51660971_2786_4052_8c4a_1cae4244446b"/>
      <w:bookmarkEnd w:id="269"/>
      <w:bookmarkEnd w:id="270"/>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271" w:name="StatementsofConvertiblePreferredStockand"/>
      <w:bookmarkEnd w:id="271"/>
      <w:r>
        <w:rPr>
          <w:rFonts w:ascii="Times New Roman;Times;serif" w:hAnsi="Times New Roman;Times;serif"/>
          <w:b/>
          <w:sz w:val="20"/>
        </w:rPr>
        <w:t xml:space="preserve">Condensed Consolidated Statements of Stockholders’ (Deficit) Equity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data)</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272" w:name="Tc_aI79oaUZGkOI7aftmgGT1Q_22_16"/>
      <w:bookmarkStart w:id="273" w:name="Tc_kM0QwVpn7UeciKIuOP2tzw_22_13"/>
      <w:bookmarkStart w:id="274" w:name="Tc_DhmpbG33iUuDkmPSKYR9Sw_22_10"/>
      <w:bookmarkStart w:id="275" w:name="Tc_CG_ucFrmGECLojY9vYJjvw_22_7"/>
      <w:bookmarkStart w:id="276" w:name="Tc_10WTsRXOu0aHIoqxB9Zosg_22_4"/>
      <w:bookmarkStart w:id="277" w:name="Tc_6JAToSMRsE65RtUbDnpzCA_22_0"/>
      <w:bookmarkStart w:id="278" w:name="Tc___ZNFBKPVkev0IyoCOkMyQ_21_14"/>
      <w:bookmarkStart w:id="279" w:name="Tc_XFWbFS6_M02mIJr0V86kjg_21_8"/>
      <w:bookmarkStart w:id="280" w:name="Tc_9DCC48MIz0GX5CnAELZa-w_21_5"/>
      <w:bookmarkStart w:id="281" w:name="Tc_jIMtbQhtxkmnKZYlevFXtw_21_2"/>
      <w:bookmarkStart w:id="282" w:name="Tc_2aBhCUzrxkqt1bmco4SzVg_21_0"/>
      <w:bookmarkStart w:id="283" w:name="Tc_s6fsPoFahUue8HMzNHkzHA_20_14"/>
      <w:bookmarkStart w:id="284" w:name="Tc_mkSU2R1oUUmqo4Gb6yB2tw_20_11"/>
      <w:bookmarkStart w:id="285" w:name="Tc_fZeZruFjxUygNTvjlGPemg_20_5"/>
      <w:bookmarkStart w:id="286" w:name="Tc_d0FnJ0FxxE25tmgCAw8lQQ_20_2"/>
      <w:bookmarkStart w:id="287" w:name="Tc_wqgikJTHX063eZI5zyrujw_20_0"/>
      <w:bookmarkStart w:id="288" w:name="Tc__KNRirlgZEe6xsyHkb0lNQ_19_8"/>
      <w:bookmarkStart w:id="289" w:name="Tc_DJmBx39-c0CLmC05bVJ0_g_19_5"/>
      <w:bookmarkStart w:id="290" w:name="Tc_Y5N8cmkTPESi7CLWkMNlCQ_19_2"/>
      <w:bookmarkStart w:id="291" w:name="Tc_Vm-pgl7p9USTbJxEG-ntuQ_19_0"/>
      <w:bookmarkStart w:id="292" w:name="Tc_r3N5p1_sz0qtqdOkcTaCKg_18_16"/>
      <w:bookmarkStart w:id="293" w:name="Tc_-NqagzPCrkm-jkELHLL2Aw_18_13"/>
      <w:bookmarkStart w:id="294" w:name="Tc_kAhYuMTdkk-F7KiC-hQ8Uw_18_10"/>
      <w:bookmarkStart w:id="295" w:name="Tc_x9lz4D8le0ydqK2oS6vt2Q_18_7"/>
      <w:bookmarkStart w:id="296" w:name="Tc_-wFqs_K_aESD7g9tFYm15A_18_4"/>
      <w:bookmarkStart w:id="297" w:name="Tc_Txe3i8xNvEWe0E1ZmDou4g_18_0"/>
      <w:bookmarkStart w:id="298" w:name="Tc_Cj1fsG4QTUefUYvYHYC-xg_17_16"/>
      <w:bookmarkStart w:id="299" w:name="Tc_VGLp_wJ2dEiSQvR2Chouug_17_13"/>
      <w:bookmarkStart w:id="300" w:name="Tc_fuNUCry8AUin6VEub8Uu3A_17_10"/>
      <w:bookmarkStart w:id="301" w:name="Tc_L2iZ-rP30UmYGIJdvpXKxg_17_7"/>
      <w:bookmarkStart w:id="302" w:name="Tc_UaFoibdm20WL8mDcwA7zNQ_17_4"/>
      <w:bookmarkStart w:id="303" w:name="Tc_IE6rE36rykCDmbj-ivec3A_17_2"/>
      <w:bookmarkStart w:id="304" w:name="Tc_Q--PjpM_60-ZRqEIGs1EaQ_16_16"/>
      <w:bookmarkStart w:id="305" w:name="Tc_rIvUIw_C00m51iT5y0SnKQ_16_13"/>
      <w:bookmarkStart w:id="306" w:name="Tc_FWy9ZOkGLkqA5koaWG9oEg_16_10"/>
      <w:bookmarkStart w:id="307" w:name="Tc_Xb1jO9qBdE-JAyxW1JaFyg_16_7"/>
      <w:bookmarkStart w:id="308" w:name="Tc_ZVEFouWHDEq_5q5FBg1aPQ_16_2"/>
      <w:bookmarkStart w:id="309" w:name="Tc_FT7rHY7OVEmoiGMFFqVblw_15_16"/>
      <w:bookmarkStart w:id="310" w:name="Tc_3IQzSktPrkaAOH-IQ5t0gg_15_13"/>
      <w:bookmarkStart w:id="311" w:name="Tc_HBLfnFLvtU2nyIREsDCjYw_15_7"/>
      <w:bookmarkStart w:id="312" w:name="Tc_gRE7LAQ2ck-7xhKu2lC3Mg_14_13"/>
      <w:bookmarkStart w:id="313" w:name="Tc_OwOqeGxpZk6WOB0Ksi2STA_13_2"/>
      <w:bookmarkStart w:id="314" w:name="Tc_aYWsmhlS0E26J2ZZsYg97A_10_16"/>
      <w:bookmarkStart w:id="315" w:name="Tc_eHvtJEAKp02zviQYZcu1-g_10_13"/>
      <w:bookmarkStart w:id="316" w:name="Tc_ArtGLiSP9kSxTk98Vu9NAQ_10_10"/>
      <w:bookmarkStart w:id="317" w:name="Tc_7-iP4vx6jEmHX99VCOf0KA_10_7"/>
      <w:bookmarkStart w:id="318" w:name="Tc__kcOCP335UmKYdq3HzqHUg_10_4"/>
      <w:bookmarkStart w:id="319" w:name="Tc_sJpfghPGx0OD3iEh-M6Fvw_10_0"/>
      <w:bookmarkStart w:id="320" w:name="Tc_x1IRR-v12UaOYuk28Y3Uhw_9_14"/>
      <w:bookmarkStart w:id="321" w:name="Tc_o21_WD0JQUqBMhG07LW7RA_9_8"/>
      <w:bookmarkStart w:id="322" w:name="Tc_qb5hsDGNvEafa1Rk7bqfdQ_9_5"/>
      <w:bookmarkStart w:id="323" w:name="Tc_8gzysCE2Jkat1gtfSZ7DBA_9_2"/>
      <w:bookmarkStart w:id="324" w:name="Tc_5FHWKC1wWU-xd8j9N_7w2Q_9_0"/>
      <w:bookmarkStart w:id="325" w:name="Tc_SAjzcyHIrkiTEnO5_jPy4A_8_14"/>
      <w:bookmarkStart w:id="326" w:name="Tc_T2EB-AEOCkWNIe5SNLJVrg_8_11"/>
      <w:bookmarkStart w:id="327" w:name="Tc_tYCRs3nSuk2Q-syxkHKjhQ_8_5"/>
      <w:bookmarkStart w:id="328" w:name="Tc_IgdRHKHd_0ykldGELmcY0g_8_2"/>
      <w:bookmarkStart w:id="329" w:name="Tc_5F2VDH9WG0-xvkwWZTYiaw_8_0"/>
      <w:bookmarkStart w:id="330" w:name="Tc_qRbf6n8BxEampQscLHoHWA_7_8"/>
      <w:bookmarkStart w:id="331" w:name="Tc_hgyYiahgg0OunqxW1jecvg_7_5"/>
      <w:bookmarkStart w:id="332" w:name="Tc_8fM5XLCKK0KoouY4SRsvwg_7_2"/>
      <w:bookmarkStart w:id="333" w:name="Tc_75bXbrCrMkW89AL43redqQ_7_0"/>
      <w:bookmarkStart w:id="334" w:name="Tc_BZuWa6l7w0ei2PSrcOcKVg_6_16"/>
      <w:bookmarkStart w:id="335" w:name="Tc_r_n5OFk77kWfCaLkw63Z6g_6_13"/>
      <w:bookmarkStart w:id="336" w:name="Tc_rGbxyIWK3EqPRZPzfU0PZA_6_10"/>
      <w:bookmarkStart w:id="337" w:name="Tc_U-_Q66uOYEKRH35t86TmfQ_6_7"/>
      <w:bookmarkStart w:id="338" w:name="Tc_TW02rEy4BUWFNLtlhOeRtQ_6_4"/>
      <w:bookmarkStart w:id="339" w:name="Tc_2dWY5eSUV0arsF93otlNxQ_6_0"/>
      <w:bookmarkStart w:id="340" w:name="Tc_hR1urSeMiUiQumX3zF69Qg_5_16"/>
      <w:bookmarkStart w:id="341" w:name="Tc_W7L-NPQrA0-WYPL3Qyoxbw_5_13"/>
      <w:bookmarkStart w:id="342" w:name="Tc_8DtskuOpo0q8gwkaFkf_9w_5_10"/>
      <w:bookmarkStart w:id="343" w:name="Tc_o4OTVNi5VUKzQXrP-p8p4A_5_7"/>
      <w:bookmarkStart w:id="344" w:name="Tc_TCGZ-ys6Sk61EsolOyddJQ_5_4"/>
      <w:bookmarkStart w:id="345" w:name="Tc_dOxSsqUIVUqfQxg5nF1xvA_5_2"/>
      <w:bookmarkStart w:id="346" w:name="Tc_oVWihHNe-UGTyRxN1JQSBg_4_16"/>
      <w:bookmarkStart w:id="347" w:name="Tc_QIHZcgTGMkqBQ9XSu0xxGg_4_13"/>
      <w:bookmarkStart w:id="348" w:name="Tc_VN2SvlXXoEqoYd44Q_KQMg_4_10"/>
      <w:bookmarkStart w:id="349" w:name="Tc_C-eFJrqT3kGCGh2DDdf6og_4_7"/>
      <w:bookmarkStart w:id="350" w:name="Tc_ebQc2j6_o0mAWpybwwDANA_4_2"/>
      <w:bookmarkStart w:id="351" w:name="Tc_BD8p3sDhbkeBlhWZn5HoWg_3_16"/>
      <w:bookmarkStart w:id="352" w:name="Tc_N62lPY5CqUWPwO3KU5anjA_3_13"/>
      <w:bookmarkStart w:id="353" w:name="Tc_GUHmHzUXXE26JbUrXRNxSg_3_7"/>
      <w:bookmarkStart w:id="354" w:name="Tc_90jKXoSOZkmmWJNupB4cLA_2_13"/>
      <w:bookmarkStart w:id="355" w:name="Tc_52v0KTvTlUiKEFgAxHS-_g_1_2"/>
      <w:bookmarkStart w:id="356" w:name="_51e96fad_a067_447f_a39c_77d8eb95b069"/>
      <w:bookmarkStart w:id="357" w:name="Tc_aI79oaUZGkOI7aftmgGT1Q_22_16"/>
      <w:bookmarkStart w:id="358" w:name="Tc_kM0QwVpn7UeciKIuOP2tzw_22_13"/>
      <w:bookmarkStart w:id="359" w:name="Tc_DhmpbG33iUuDkmPSKYR9Sw_22_10"/>
      <w:bookmarkStart w:id="360" w:name="Tc_CG_ucFrmGECLojY9vYJjvw_22_7"/>
      <w:bookmarkStart w:id="361" w:name="Tc_10WTsRXOu0aHIoqxB9Zosg_22_4"/>
      <w:bookmarkStart w:id="362" w:name="Tc_6JAToSMRsE65RtUbDnpzCA_22_0"/>
      <w:bookmarkStart w:id="363" w:name="Tc___ZNFBKPVkev0IyoCOkMyQ_21_14"/>
      <w:bookmarkStart w:id="364" w:name="Tc_XFWbFS6_M02mIJr0V86kjg_21_8"/>
      <w:bookmarkStart w:id="365" w:name="Tc_9DCC48MIz0GX5CnAELZa-w_21_5"/>
      <w:bookmarkStart w:id="366" w:name="Tc_jIMtbQhtxkmnKZYlevFXtw_21_2"/>
      <w:bookmarkStart w:id="367" w:name="Tc_2aBhCUzrxkqt1bmco4SzVg_21_0"/>
      <w:bookmarkStart w:id="368" w:name="Tc_s6fsPoFahUue8HMzNHkzHA_20_14"/>
      <w:bookmarkStart w:id="369" w:name="Tc_mkSU2R1oUUmqo4Gb6yB2tw_20_11"/>
      <w:bookmarkStart w:id="370" w:name="Tc_fZeZruFjxUygNTvjlGPemg_20_5"/>
      <w:bookmarkStart w:id="371" w:name="Tc_d0FnJ0FxxE25tmgCAw8lQQ_20_2"/>
      <w:bookmarkStart w:id="372" w:name="Tc_wqgikJTHX063eZI5zyrujw_20_0"/>
      <w:bookmarkStart w:id="373" w:name="Tc__KNRirlgZEe6xsyHkb0lNQ_19_8"/>
      <w:bookmarkStart w:id="374" w:name="Tc_DJmBx39-c0CLmC05bVJ0_g_19_5"/>
      <w:bookmarkStart w:id="375" w:name="Tc_Y5N8cmkTPESi7CLWkMNlCQ_19_2"/>
      <w:bookmarkStart w:id="376" w:name="Tc_Vm-pgl7p9USTbJxEG-ntuQ_19_0"/>
      <w:bookmarkStart w:id="377" w:name="Tc_r3N5p1_sz0qtqdOkcTaCKg_18_16"/>
      <w:bookmarkStart w:id="378" w:name="Tc_-NqagzPCrkm-jkELHLL2Aw_18_13"/>
      <w:bookmarkStart w:id="379" w:name="Tc_kAhYuMTdkk-F7KiC-hQ8Uw_18_10"/>
      <w:bookmarkStart w:id="380" w:name="Tc_x9lz4D8le0ydqK2oS6vt2Q_18_7"/>
      <w:bookmarkStart w:id="381" w:name="Tc_-wFqs_K_aESD7g9tFYm15A_18_4"/>
      <w:bookmarkStart w:id="382" w:name="Tc_Txe3i8xNvEWe0E1ZmDou4g_18_0"/>
      <w:bookmarkStart w:id="383" w:name="Tc_Cj1fsG4QTUefUYvYHYC-xg_17_16"/>
      <w:bookmarkStart w:id="384" w:name="Tc_VGLp_wJ2dEiSQvR2Chouug_17_13"/>
      <w:bookmarkStart w:id="385" w:name="Tc_fuNUCry8AUin6VEub8Uu3A_17_10"/>
      <w:bookmarkStart w:id="386" w:name="Tc_L2iZ-rP30UmYGIJdvpXKxg_17_7"/>
      <w:bookmarkStart w:id="387" w:name="Tc_UaFoibdm20WL8mDcwA7zNQ_17_4"/>
      <w:bookmarkStart w:id="388" w:name="Tc_IE6rE36rykCDmbj-ivec3A_17_2"/>
      <w:bookmarkStart w:id="389" w:name="Tc_Q--PjpM_60-ZRqEIGs1EaQ_16_16"/>
      <w:bookmarkStart w:id="390" w:name="Tc_rIvUIw_C00m51iT5y0SnKQ_16_13"/>
      <w:bookmarkStart w:id="391" w:name="Tc_FWy9ZOkGLkqA5koaWG9oEg_16_10"/>
      <w:bookmarkStart w:id="392" w:name="Tc_Xb1jO9qBdE-JAyxW1JaFyg_16_7"/>
      <w:bookmarkStart w:id="393" w:name="Tc_ZVEFouWHDEq_5q5FBg1aPQ_16_2"/>
      <w:bookmarkStart w:id="394" w:name="Tc_FT7rHY7OVEmoiGMFFqVblw_15_16"/>
      <w:bookmarkStart w:id="395" w:name="Tc_3IQzSktPrkaAOH-IQ5t0gg_15_13"/>
      <w:bookmarkStart w:id="396" w:name="Tc_HBLfnFLvtU2nyIREsDCjYw_15_7"/>
      <w:bookmarkStart w:id="397" w:name="Tc_gRE7LAQ2ck-7xhKu2lC3Mg_14_13"/>
      <w:bookmarkStart w:id="398" w:name="Tc_OwOqeGxpZk6WOB0Ksi2STA_13_2"/>
      <w:bookmarkStart w:id="399" w:name="Tc_aYWsmhlS0E26J2ZZsYg97A_10_16"/>
      <w:bookmarkStart w:id="400" w:name="Tc_eHvtJEAKp02zviQYZcu1-g_10_13"/>
      <w:bookmarkStart w:id="401" w:name="Tc_ArtGLiSP9kSxTk98Vu9NAQ_10_10"/>
      <w:bookmarkStart w:id="402" w:name="Tc_7-iP4vx6jEmHX99VCOf0KA_10_7"/>
      <w:bookmarkStart w:id="403" w:name="Tc__kcOCP335UmKYdq3HzqHUg_10_4"/>
      <w:bookmarkStart w:id="404" w:name="Tc_sJpfghPGx0OD3iEh-M6Fvw_10_0"/>
      <w:bookmarkStart w:id="405" w:name="Tc_x1IRR-v12UaOYuk28Y3Uhw_9_14"/>
      <w:bookmarkStart w:id="406" w:name="Tc_o21_WD0JQUqBMhG07LW7RA_9_8"/>
      <w:bookmarkStart w:id="407" w:name="Tc_qb5hsDGNvEafa1Rk7bqfdQ_9_5"/>
      <w:bookmarkStart w:id="408" w:name="Tc_8gzysCE2Jkat1gtfSZ7DBA_9_2"/>
      <w:bookmarkStart w:id="409" w:name="Tc_5FHWKC1wWU-xd8j9N_7w2Q_9_0"/>
      <w:bookmarkStart w:id="410" w:name="Tc_SAjzcyHIrkiTEnO5_jPy4A_8_14"/>
      <w:bookmarkStart w:id="411" w:name="Tc_T2EB-AEOCkWNIe5SNLJVrg_8_11"/>
      <w:bookmarkStart w:id="412" w:name="Tc_tYCRs3nSuk2Q-syxkHKjhQ_8_5"/>
      <w:bookmarkStart w:id="413" w:name="Tc_IgdRHKHd_0ykldGELmcY0g_8_2"/>
      <w:bookmarkStart w:id="414" w:name="Tc_5F2VDH9WG0-xvkwWZTYiaw_8_0"/>
      <w:bookmarkStart w:id="415" w:name="Tc_qRbf6n8BxEampQscLHoHWA_7_8"/>
      <w:bookmarkStart w:id="416" w:name="Tc_hgyYiahgg0OunqxW1jecvg_7_5"/>
      <w:bookmarkStart w:id="417" w:name="Tc_8fM5XLCKK0KoouY4SRsvwg_7_2"/>
      <w:bookmarkStart w:id="418" w:name="Tc_75bXbrCrMkW89AL43redqQ_7_0"/>
      <w:bookmarkStart w:id="419" w:name="Tc_BZuWa6l7w0ei2PSrcOcKVg_6_16"/>
      <w:bookmarkStart w:id="420" w:name="Tc_r_n5OFk77kWfCaLkw63Z6g_6_13"/>
      <w:bookmarkStart w:id="421" w:name="Tc_rGbxyIWK3EqPRZPzfU0PZA_6_10"/>
      <w:bookmarkStart w:id="422" w:name="Tc_U-_Q66uOYEKRH35t86TmfQ_6_7"/>
      <w:bookmarkStart w:id="423" w:name="Tc_TW02rEy4BUWFNLtlhOeRtQ_6_4"/>
      <w:bookmarkStart w:id="424" w:name="Tc_2dWY5eSUV0arsF93otlNxQ_6_0"/>
      <w:bookmarkStart w:id="425" w:name="Tc_hR1urSeMiUiQumX3zF69Qg_5_16"/>
      <w:bookmarkStart w:id="426" w:name="Tc_W7L-NPQrA0-WYPL3Qyoxbw_5_13"/>
      <w:bookmarkStart w:id="427" w:name="Tc_8DtskuOpo0q8gwkaFkf_9w_5_10"/>
      <w:bookmarkStart w:id="428" w:name="Tc_o4OTVNi5VUKzQXrP-p8p4A_5_7"/>
      <w:bookmarkStart w:id="429" w:name="Tc_TCGZ-ys6Sk61EsolOyddJQ_5_4"/>
      <w:bookmarkStart w:id="430" w:name="Tc_dOxSsqUIVUqfQxg5nF1xvA_5_2"/>
      <w:bookmarkStart w:id="431" w:name="Tc_oVWihHNe-UGTyRxN1JQSBg_4_16"/>
      <w:bookmarkStart w:id="432" w:name="Tc_QIHZcgTGMkqBQ9XSu0xxGg_4_13"/>
      <w:bookmarkStart w:id="433" w:name="Tc_VN2SvlXXoEqoYd44Q_KQMg_4_10"/>
      <w:bookmarkStart w:id="434" w:name="Tc_C-eFJrqT3kGCGh2DDdf6og_4_7"/>
      <w:bookmarkStart w:id="435" w:name="Tc_ebQc2j6_o0mAWpybwwDANA_4_2"/>
      <w:bookmarkStart w:id="436" w:name="Tc_BD8p3sDhbkeBlhWZn5HoWg_3_16"/>
      <w:bookmarkStart w:id="437" w:name="Tc_N62lPY5CqUWPwO3KU5anjA_3_13"/>
      <w:bookmarkStart w:id="438" w:name="Tc_GUHmHzUXXE26JbUrXRNxSg_3_7"/>
      <w:bookmarkStart w:id="439" w:name="Tc_90jKXoSOZkmmWJNupB4cLA_2_13"/>
      <w:bookmarkStart w:id="440" w:name="Tc_52v0KTvTlUiKEFgAxHS-_g_1_2"/>
      <w:bookmarkStart w:id="441" w:name="_51e96fad_a067_447f_a39c_77d8eb95b069"/>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tbl>
      <w:tblPr>
        <w:tblW w:w="10205" w:type="dxa"/>
        <w:jc w:val="left"/>
        <w:tblInd w:w="0" w:type="dxa"/>
        <w:tblLayout w:type="fixed"/>
        <w:tblCellMar>
          <w:top w:w="0" w:type="dxa"/>
          <w:left w:w="0" w:type="dxa"/>
          <w:bottom w:w="0" w:type="dxa"/>
          <w:right w:w="0" w:type="dxa"/>
        </w:tblCellMar>
      </w:tblPr>
      <w:tblGrid>
        <w:gridCol w:w="2098"/>
        <w:gridCol w:w="346"/>
        <w:gridCol w:w="916"/>
        <w:gridCol w:w="346"/>
        <w:gridCol w:w="249"/>
        <w:gridCol w:w="442"/>
        <w:gridCol w:w="406"/>
        <w:gridCol w:w="196"/>
        <w:gridCol w:w="691"/>
        <w:gridCol w:w="346"/>
        <w:gridCol w:w="217"/>
        <w:gridCol w:w="834"/>
        <w:gridCol w:w="346"/>
        <w:gridCol w:w="376"/>
        <w:gridCol w:w="840"/>
        <w:gridCol w:w="406"/>
        <w:gridCol w:w="248"/>
        <w:gridCol w:w="902"/>
      </w:tblGrid>
      <w:tr>
        <w:trPr/>
        <w:tc>
          <w:tcPr>
            <w:tcW w:w="2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2230" cy="175260"/>
                      <wp:effectExtent l="0" t="0" r="0" b="0"/>
                      <wp:wrapNone/>
                      <wp:docPr id="27" name="Frame27"/>
                      <a:graphic xmlns:a="http://schemas.openxmlformats.org/drawingml/2006/main">
                        <a:graphicData uri="http://schemas.microsoft.com/office/word/2010/wordprocessingShape">
                          <wps:wsp>
                            <wps:cNvSpPr txBox="1"/>
                            <wps:spPr>
                              <a:xfrm>
                                <a:off x="0" y="0"/>
                                <a:ext cx="1332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9" name="Frame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57810" cy="175260"/>
                      <wp:effectExtent l="0" t="0" r="0" b="0"/>
                      <wp:wrapNone/>
                      <wp:docPr id="33" name="Frame3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38785" cy="175260"/>
                      <wp:effectExtent l="0" t="0" r="0" b="0"/>
                      <wp:wrapNone/>
                      <wp:docPr id="35" name="Frame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795" cy="175260"/>
                      <wp:effectExtent l="0" t="0" r="0" b="0"/>
                      <wp:wrapNone/>
                      <wp:docPr id="37" name="Frame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9590" cy="175260"/>
                      <wp:effectExtent l="0" t="0" r="0" b="0"/>
                      <wp:wrapNone/>
                      <wp:docPr id="38" name="Frame3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38760" cy="175260"/>
                      <wp:effectExtent l="0" t="0" r="0" b="0"/>
                      <wp:wrapNone/>
                      <wp:docPr id="40" name="Frame4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33400" cy="175260"/>
                      <wp:effectExtent l="0" t="0" r="0" b="0"/>
                      <wp:wrapNone/>
                      <wp:docPr id="41" name="Frame4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57810" cy="175260"/>
                      <wp:effectExtent l="0" t="0" r="0" b="0"/>
                      <wp:wrapNone/>
                      <wp:docPr id="42" name="Frame4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7480" cy="175260"/>
                      <wp:effectExtent l="0" t="0" r="0" b="0"/>
                      <wp:wrapNone/>
                      <wp:docPr id="43" name="Frame4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72770" cy="175260"/>
                      <wp:effectExtent l="0" t="0" r="0" b="0"/>
                      <wp:wrapNone/>
                      <wp:docPr id="44" name="Frame44"/>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6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pPr>
            <w:r>
              <w:rPr/>
              <w:t>​</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406" w:type="dxa"/>
            <w:tcBorders/>
            <w:vAlign w:val="center"/>
          </w:tcPr>
          <w:p>
            <w:pPr>
              <w:pStyle w:val="TableContents"/>
              <w:bidi w:val="0"/>
              <w:spacing w:before="0" w:after="0"/>
              <w:ind w:left="0" w:right="0" w:hanging="0"/>
              <w:jc w:val="left"/>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406" w:type="dxa"/>
            <w:tcBorders/>
            <w:vAlign w:val="center"/>
          </w:tcPr>
          <w:p>
            <w:pPr>
              <w:pStyle w:val="TableContents"/>
              <w:bidi w:val="0"/>
              <w:spacing w:before="0" w:after="0"/>
              <w:ind w:left="0" w:right="0" w:hanging="0"/>
              <w:jc w:val="left"/>
              <w:rPr/>
            </w:pPr>
            <w:r>
              <w:rPr/>
              <w:t>  ​ ​ ​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March 31, 2026 (unaudited)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108,497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(102,631)</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5,725</w:t>
            </w:r>
          </w:p>
        </w:tc>
      </w:tr>
      <w:tr>
        <w:trPr/>
        <w:tc>
          <w:tcPr>
            <w:tcW w:w="20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40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r>
      <w:tr>
        <w:trPr/>
        <w:tc>
          <w:tcPr>
            <w:tcW w:w="20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(6,717)</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(6,717)</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 (unaudited)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108,976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(109,403)</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6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pPr>
            <w:r>
              <w:rPr/>
              <w:t>​</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4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40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406" w:type="dxa"/>
            <w:tcBorders/>
            <w:vAlign w:val="center"/>
          </w:tcPr>
          <w:p>
            <w:pPr>
              <w:pStyle w:val="TableContents"/>
              <w:bidi w:val="0"/>
              <w:spacing w:before="0" w:after="0"/>
              <w:ind w:left="0" w:right="0" w:hanging="0"/>
              <w:jc w:val="left"/>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406" w:type="dxa"/>
            <w:tcBorders/>
            <w:vAlign w:val="center"/>
          </w:tcPr>
          <w:p>
            <w:pPr>
              <w:pStyle w:val="TableContents"/>
              <w:bidi w:val="0"/>
              <w:spacing w:before="0" w:after="0"/>
              <w:ind w:left="0" w:right="0" w:hanging="0"/>
              <w:jc w:val="left"/>
              <w:rPr/>
            </w:pPr>
            <w:r>
              <w:rPr/>
              <w:t>  ​ ​ ​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108,108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(95,609)</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12,402</w:t>
            </w:r>
          </w:p>
        </w:tc>
      </w:tr>
      <w:tr>
        <w:trPr/>
        <w:tc>
          <w:tcPr>
            <w:tcW w:w="20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40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r>
      <w:tr>
        <w:trPr/>
        <w:tc>
          <w:tcPr>
            <w:tcW w:w="20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(13,712)</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(13,712)</w:t>
            </w:r>
          </w:p>
        </w:tc>
      </w:tr>
      <w:tr>
        <w:trPr/>
        <w:tc>
          <w:tcPr>
            <w:tcW w:w="20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 (unaudited)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108,976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(109,403)</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40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r>
      <w:tr>
        <w:trPr/>
        <w:tc>
          <w:tcPr>
            <w:tcW w:w="2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2" w:name="Tc_N-QDf66eSEegZOh3jm27vQ_23_16"/>
      <w:bookmarkStart w:id="443" w:name="Tc_i-IJ5StCdU2X_Z_sNqVe4g_23_13"/>
      <w:bookmarkStart w:id="444" w:name="Tc_kO0uz9M5ek6sOu2IqdIZww_23_10"/>
      <w:bookmarkStart w:id="445" w:name="Tc_Unf7-nGdB0WyM6OR2UqhMA_23_7"/>
      <w:bookmarkStart w:id="446" w:name="Tc_Te1kaPayskehQ1Plb9OC5w_23_4"/>
      <w:bookmarkStart w:id="447" w:name="Tc_ghCVSUb_302tskdDZnbyzw_23_0"/>
      <w:bookmarkStart w:id="448" w:name="Tc_DtAJw0bqXkOraKl1_OUfYw_22_14"/>
      <w:bookmarkStart w:id="449" w:name="Tc_pK84jScJikyQaJxPVNCNAg_22_8"/>
      <w:bookmarkStart w:id="450" w:name="Tc_VcwUMT_r7EOJb7XCDFtXlA_22_5"/>
      <w:bookmarkStart w:id="451" w:name="Tc_3jCpKBRHFkaz-HrnlFxfIw_22_2"/>
      <w:bookmarkStart w:id="452" w:name="Tc_nL35bjenjEm33wI1aiZIOw_22_0"/>
      <w:bookmarkStart w:id="453" w:name="Tc_LWTM_6JkrkWmYjk95G2yyw_21_14"/>
      <w:bookmarkStart w:id="454" w:name="Tc_drUIpQa2_0-ZVU9ZFdV4jA_21_11"/>
      <w:bookmarkStart w:id="455" w:name="Tc_Ys7yLjU0R0WrbWJIznlTog_21_5"/>
      <w:bookmarkStart w:id="456" w:name="Tc_uYX36v4kbk-exJTtcLXA7g_21_2"/>
      <w:bookmarkStart w:id="457" w:name="Tc_AHVeCPd2W02e3sKIJy-_-Q_21_0"/>
      <w:bookmarkStart w:id="458" w:name="Tc_vlqB0Wu5402GoClqbTESOg_20_17"/>
      <w:bookmarkStart w:id="459" w:name="Tc_emiMloMIX0CmkVYHFFU0MA_20_14"/>
      <w:bookmarkStart w:id="460" w:name="Tc_adUcor6USE65rwJaH8louw_20_11"/>
      <w:bookmarkStart w:id="461" w:name="Tc_vYORSZ1Hb0KF8imJ3ywd7A_20_8"/>
      <w:bookmarkStart w:id="462" w:name="Tc_8uSyR-MpyUmG0_eh6eS8qw_20_5"/>
      <w:bookmarkStart w:id="463" w:name="Tc_226FibFHQ0utYRgw_6kq3g_20_0"/>
      <w:bookmarkStart w:id="464" w:name="Tc_RsTWQj7sNkqnzXoeOtSneg_19_8"/>
      <w:bookmarkStart w:id="465" w:name="Tc_NIf8PHdqOkmSuhPR4R7sUg_19_5"/>
      <w:bookmarkStart w:id="466" w:name="Tc_6Ljq504pl0qdlndylNBoSQ_19_2"/>
      <w:bookmarkStart w:id="467" w:name="Tc_zYEoIsQW4Eac41IjY0Qy6Q_19_0"/>
      <w:bookmarkStart w:id="468" w:name="Tc_mZ5SkWYnD02mCoVpiJNSrg_18_16"/>
      <w:bookmarkStart w:id="469" w:name="Tc_VeU5PZKmGkqzUecL2w_SPQ_18_13"/>
      <w:bookmarkStart w:id="470" w:name="Tc_q1w-agPeRkC5BEGyztsYfA_18_10"/>
      <w:bookmarkStart w:id="471" w:name="Tc_PbCTYLM6YEOaqne9auOoyw_18_7"/>
      <w:bookmarkStart w:id="472" w:name="Tc_ixfK2a8RU02HE9wxs4Fo_Q_18_4"/>
      <w:bookmarkStart w:id="473" w:name="Tc_o2Bb_3Dna0OE2EU1UbVFCw_18_0"/>
      <w:bookmarkStart w:id="474" w:name="Tc_A3e_u5FLu0iEosS9-TlfSA_17_16"/>
      <w:bookmarkStart w:id="475" w:name="Tc_78zPtgBU10SoUWCaWqYpbA_17_13"/>
      <w:bookmarkStart w:id="476" w:name="Tc_vF6PwVW1j0aj5HXUyujRPw_17_10"/>
      <w:bookmarkStart w:id="477" w:name="Tc_qqaAgjPJBk68FH2lMpOYWQ_17_7"/>
      <w:bookmarkStart w:id="478" w:name="Tc_QX2b9IUasECGM5NEG-sCTg_17_4"/>
      <w:bookmarkStart w:id="479" w:name="Tc_WvwqNkaBkUmbVREhP4hPfQ_17_2"/>
      <w:bookmarkStart w:id="480" w:name="Tc_oFCLgwaEAkyB-jwjXsGmLA_16_16"/>
      <w:bookmarkStart w:id="481" w:name="Tc_D8KWO7d48kicbuTVaG1_Sg_16_13"/>
      <w:bookmarkStart w:id="482" w:name="Tc_SZMl9_MdOk2jEmazlxFgQw_16_10"/>
      <w:bookmarkStart w:id="483" w:name="Tc_s5Tf7fR6CEe4pWefyjAXjw_16_7"/>
      <w:bookmarkStart w:id="484" w:name="Tc_Gwwz7rinnEyTIH_zyeWKjg_16_2"/>
      <w:bookmarkStart w:id="485" w:name="Tc_8U9RVPMosEiMDo8K1PI-YA_15_16"/>
      <w:bookmarkStart w:id="486" w:name="Tc_d8utZ4XZxUKJXVbcilUSKQ_15_13"/>
      <w:bookmarkStart w:id="487" w:name="Tc_kZO8HGTXzEO4zjEH5WCMcw_15_7"/>
      <w:bookmarkStart w:id="488" w:name="Tc_oyUFG9KH3Euzg5IQ6xKSog_14_13"/>
      <w:bookmarkStart w:id="489" w:name="Tc_GIyKyaWNnkuc_E767WaIjQ_13_2"/>
      <w:bookmarkStart w:id="490" w:name="Tc_KWWaqKYgpE2fNxGT_abInQ_10_16"/>
      <w:bookmarkStart w:id="491" w:name="Tc_Q2_bBday1EOEFCCGuR0B5w_10_13"/>
      <w:bookmarkStart w:id="492" w:name="Tc_z4xNrJd_IE2AfbbJSHqU-w_10_10"/>
      <w:bookmarkStart w:id="493" w:name="Tc_MIcCs8E4V0yDBxYzgds34Q_10_7"/>
      <w:bookmarkStart w:id="494" w:name="Tc_NPhqc9tv2EG40xYptZtf0w_10_4"/>
      <w:bookmarkStart w:id="495" w:name="Tc_yHTnVOiRzUuW3gv5h1fr_g_10_0"/>
      <w:bookmarkStart w:id="496" w:name="Tc_3eVff9pFi02opv0Z9lHKCw_9_14"/>
      <w:bookmarkStart w:id="497" w:name="Tc_b7bG6vN-EUm-Na-Znat3dQ_9_8"/>
      <w:bookmarkStart w:id="498" w:name="Tc_Zmz2su5R6E6NomAiXWMiUw_9_5"/>
      <w:bookmarkStart w:id="499" w:name="Tc_kPTQwxMLoEKpxE27OQFFxg_9_2"/>
      <w:bookmarkStart w:id="500" w:name="Tc_yNeh6TD470SvhlErVbaQDg_9_0"/>
      <w:bookmarkStart w:id="501" w:name="Tc_INmzYek7802-wjjvRUhA7g_8_14"/>
      <w:bookmarkStart w:id="502" w:name="Tc_ATfRxMfIf06_p_SFZBXpzQ_8_11"/>
      <w:bookmarkStart w:id="503" w:name="Tc_xVDi6SdCW0qazHbCv-iJLw_8_5"/>
      <w:bookmarkStart w:id="504" w:name="Tc_Bskg-1rgikqOdvLAKbYMQQ_8_2"/>
      <w:bookmarkStart w:id="505" w:name="Tc_k1ANdpA_uUSXkWqd_nB8rA_8_0"/>
      <w:bookmarkStart w:id="506" w:name="Tc_wcILTO8xrkKl_lcB8oXbjg_7_8"/>
      <w:bookmarkStart w:id="507" w:name="Tc_HL_KguUUHUWzhoOz78GmjQ_7_5"/>
      <w:bookmarkStart w:id="508" w:name="Tc_r930kKCNqUabEfTOPzhMqw_7_2"/>
      <w:bookmarkStart w:id="509" w:name="Tc_k8wDLHLIQE-6VhMWcqm6vw_7_0"/>
      <w:bookmarkStart w:id="510" w:name="Tc_AVdTTTU0HUms_fAhNBte3g_6_16"/>
      <w:bookmarkStart w:id="511" w:name="Tc_h449VsEtfkaWbiTQ5Bbxkg_6_13"/>
      <w:bookmarkStart w:id="512" w:name="Tc_wzxPg7Mk9EKX3gJBBNTp_A_6_10"/>
      <w:bookmarkStart w:id="513" w:name="Tc_izBj3c6QgUGz1PxdUtciRg_6_7"/>
      <w:bookmarkStart w:id="514" w:name="Tc_9Dc3GccdSEuW-1jj-p73Tg_6_4"/>
      <w:bookmarkStart w:id="515" w:name="Tc_se8o18E4cUiyO33gbsTOYQ_6_0"/>
      <w:bookmarkStart w:id="516" w:name="Tc_mWbNHspc3kGGTslzEMvUsg_5_16"/>
      <w:bookmarkStart w:id="517" w:name="Tc_VFJ8NoyGV0u2K4s_mQa5Xw_5_13"/>
      <w:bookmarkStart w:id="518" w:name="Tc_9YVFkbbpPkmQZn-T8gHKqA_5_10"/>
      <w:bookmarkStart w:id="519" w:name="Tc_ojveEJBcg0Om6sMDusgwkQ_5_7"/>
      <w:bookmarkStart w:id="520" w:name="Tc_Lvth23slSkWwq4_L8vOARA_5_4"/>
      <w:bookmarkStart w:id="521" w:name="Tc_ykXCvYAuqUGvjNr9r8DFsA_5_2"/>
      <w:bookmarkStart w:id="522" w:name="Tc_YgyS1OSkXkaUlT47ArPzBg_4_16"/>
      <w:bookmarkStart w:id="523" w:name="Tc_IqFddvntOUe63lCocyjhYA_4_13"/>
      <w:bookmarkStart w:id="524" w:name="Tc_GKqXy3M8T0O0zKz6PtThuA_4_10"/>
      <w:bookmarkStart w:id="525" w:name="Tc_LO-r0KEV00y6MEDNaFn0LQ_4_7"/>
      <w:bookmarkStart w:id="526" w:name="Tc_dBovZR5yrEO7UNUxPxzTyQ_4_2"/>
      <w:bookmarkStart w:id="527" w:name="Tc_XPmRZgQXNUinodDs3OhvJQ_3_16"/>
      <w:bookmarkStart w:id="528" w:name="Tc_INImT7P7qU-kus4pjc70Cw_3_13"/>
      <w:bookmarkStart w:id="529" w:name="Tc_GIyWmlx59kaAIL3mmKu2sA_3_7"/>
      <w:bookmarkStart w:id="530" w:name="Tc_5YFBHoCDdUSzyA9mV_Rc9g_2_13"/>
      <w:bookmarkStart w:id="531" w:name="Tc_QnUn3sRDpEKqtfyZv2p4cg_1_2"/>
      <w:bookmarkStart w:id="532" w:name="_fb181693_e669_49f2_bb1d_9129fe02484a"/>
      <w:bookmarkStart w:id="533" w:name="Tc_N-QDf66eSEegZOh3jm27vQ_23_16"/>
      <w:bookmarkStart w:id="534" w:name="Tc_i-IJ5StCdU2X_Z_sNqVe4g_23_13"/>
      <w:bookmarkStart w:id="535" w:name="Tc_kO0uz9M5ek6sOu2IqdIZww_23_10"/>
      <w:bookmarkStart w:id="536" w:name="Tc_Unf7-nGdB0WyM6OR2UqhMA_23_7"/>
      <w:bookmarkStart w:id="537" w:name="Tc_Te1kaPayskehQ1Plb9OC5w_23_4"/>
      <w:bookmarkStart w:id="538" w:name="Tc_ghCVSUb_302tskdDZnbyzw_23_0"/>
      <w:bookmarkStart w:id="539" w:name="Tc_DtAJw0bqXkOraKl1_OUfYw_22_14"/>
      <w:bookmarkStart w:id="540" w:name="Tc_pK84jScJikyQaJxPVNCNAg_22_8"/>
      <w:bookmarkStart w:id="541" w:name="Tc_VcwUMT_r7EOJb7XCDFtXlA_22_5"/>
      <w:bookmarkStart w:id="542" w:name="Tc_3jCpKBRHFkaz-HrnlFxfIw_22_2"/>
      <w:bookmarkStart w:id="543" w:name="Tc_nL35bjenjEm33wI1aiZIOw_22_0"/>
      <w:bookmarkStart w:id="544" w:name="Tc_LWTM_6JkrkWmYjk95G2yyw_21_14"/>
      <w:bookmarkStart w:id="545" w:name="Tc_drUIpQa2_0-ZVU9ZFdV4jA_21_11"/>
      <w:bookmarkStart w:id="546" w:name="Tc_Ys7yLjU0R0WrbWJIznlTog_21_5"/>
      <w:bookmarkStart w:id="547" w:name="Tc_uYX36v4kbk-exJTtcLXA7g_21_2"/>
      <w:bookmarkStart w:id="548" w:name="Tc_AHVeCPd2W02e3sKIJy-_-Q_21_0"/>
      <w:bookmarkStart w:id="549" w:name="Tc_vlqB0Wu5402GoClqbTESOg_20_17"/>
      <w:bookmarkStart w:id="550" w:name="Tc_emiMloMIX0CmkVYHFFU0MA_20_14"/>
      <w:bookmarkStart w:id="551" w:name="Tc_adUcor6USE65rwJaH8louw_20_11"/>
      <w:bookmarkStart w:id="552" w:name="Tc_vYORSZ1Hb0KF8imJ3ywd7A_20_8"/>
      <w:bookmarkStart w:id="553" w:name="Tc_8uSyR-MpyUmG0_eh6eS8qw_20_5"/>
      <w:bookmarkStart w:id="554" w:name="Tc_226FibFHQ0utYRgw_6kq3g_20_0"/>
      <w:bookmarkStart w:id="555" w:name="Tc_RsTWQj7sNkqnzXoeOtSneg_19_8"/>
      <w:bookmarkStart w:id="556" w:name="Tc_NIf8PHdqOkmSuhPR4R7sUg_19_5"/>
      <w:bookmarkStart w:id="557" w:name="Tc_6Ljq504pl0qdlndylNBoSQ_19_2"/>
      <w:bookmarkStart w:id="558" w:name="Tc_zYEoIsQW4Eac41IjY0Qy6Q_19_0"/>
      <w:bookmarkStart w:id="559" w:name="Tc_mZ5SkWYnD02mCoVpiJNSrg_18_16"/>
      <w:bookmarkStart w:id="560" w:name="Tc_VeU5PZKmGkqzUecL2w_SPQ_18_13"/>
      <w:bookmarkStart w:id="561" w:name="Tc_q1w-agPeRkC5BEGyztsYfA_18_10"/>
      <w:bookmarkStart w:id="562" w:name="Tc_PbCTYLM6YEOaqne9auOoyw_18_7"/>
      <w:bookmarkStart w:id="563" w:name="Tc_ixfK2a8RU02HE9wxs4Fo_Q_18_4"/>
      <w:bookmarkStart w:id="564" w:name="Tc_o2Bb_3Dna0OE2EU1UbVFCw_18_0"/>
      <w:bookmarkStart w:id="565" w:name="Tc_A3e_u5FLu0iEosS9-TlfSA_17_16"/>
      <w:bookmarkStart w:id="566" w:name="Tc_78zPtgBU10SoUWCaWqYpbA_17_13"/>
      <w:bookmarkStart w:id="567" w:name="Tc_vF6PwVW1j0aj5HXUyujRPw_17_10"/>
      <w:bookmarkStart w:id="568" w:name="Tc_qqaAgjPJBk68FH2lMpOYWQ_17_7"/>
      <w:bookmarkStart w:id="569" w:name="Tc_QX2b9IUasECGM5NEG-sCTg_17_4"/>
      <w:bookmarkStart w:id="570" w:name="Tc_WvwqNkaBkUmbVREhP4hPfQ_17_2"/>
      <w:bookmarkStart w:id="571" w:name="Tc_oFCLgwaEAkyB-jwjXsGmLA_16_16"/>
      <w:bookmarkStart w:id="572" w:name="Tc_D8KWO7d48kicbuTVaG1_Sg_16_13"/>
      <w:bookmarkStart w:id="573" w:name="Tc_SZMl9_MdOk2jEmazlxFgQw_16_10"/>
      <w:bookmarkStart w:id="574" w:name="Tc_s5Tf7fR6CEe4pWefyjAXjw_16_7"/>
      <w:bookmarkStart w:id="575" w:name="Tc_Gwwz7rinnEyTIH_zyeWKjg_16_2"/>
      <w:bookmarkStart w:id="576" w:name="Tc_8U9RVPMosEiMDo8K1PI-YA_15_16"/>
      <w:bookmarkStart w:id="577" w:name="Tc_d8utZ4XZxUKJXVbcilUSKQ_15_13"/>
      <w:bookmarkStart w:id="578" w:name="Tc_kZO8HGTXzEO4zjEH5WCMcw_15_7"/>
      <w:bookmarkStart w:id="579" w:name="Tc_oyUFG9KH3Euzg5IQ6xKSog_14_13"/>
      <w:bookmarkStart w:id="580" w:name="Tc_GIyKyaWNnkuc_E767WaIjQ_13_2"/>
      <w:bookmarkStart w:id="581" w:name="Tc_KWWaqKYgpE2fNxGT_abInQ_10_16"/>
      <w:bookmarkStart w:id="582" w:name="Tc_Q2_bBday1EOEFCCGuR0B5w_10_13"/>
      <w:bookmarkStart w:id="583" w:name="Tc_z4xNrJd_IE2AfbbJSHqU-w_10_10"/>
      <w:bookmarkStart w:id="584" w:name="Tc_MIcCs8E4V0yDBxYzgds34Q_10_7"/>
      <w:bookmarkStart w:id="585" w:name="Tc_NPhqc9tv2EG40xYptZtf0w_10_4"/>
      <w:bookmarkStart w:id="586" w:name="Tc_yHTnVOiRzUuW3gv5h1fr_g_10_0"/>
      <w:bookmarkStart w:id="587" w:name="Tc_3eVff9pFi02opv0Z9lHKCw_9_14"/>
      <w:bookmarkStart w:id="588" w:name="Tc_b7bG6vN-EUm-Na-Znat3dQ_9_8"/>
      <w:bookmarkStart w:id="589" w:name="Tc_Zmz2su5R6E6NomAiXWMiUw_9_5"/>
      <w:bookmarkStart w:id="590" w:name="Tc_kPTQwxMLoEKpxE27OQFFxg_9_2"/>
      <w:bookmarkStart w:id="591" w:name="Tc_yNeh6TD470SvhlErVbaQDg_9_0"/>
      <w:bookmarkStart w:id="592" w:name="Tc_INmzYek7802-wjjvRUhA7g_8_14"/>
      <w:bookmarkStart w:id="593" w:name="Tc_ATfRxMfIf06_p_SFZBXpzQ_8_11"/>
      <w:bookmarkStart w:id="594" w:name="Tc_xVDi6SdCW0qazHbCv-iJLw_8_5"/>
      <w:bookmarkStart w:id="595" w:name="Tc_Bskg-1rgikqOdvLAKbYMQQ_8_2"/>
      <w:bookmarkStart w:id="596" w:name="Tc_k1ANdpA_uUSXkWqd_nB8rA_8_0"/>
      <w:bookmarkStart w:id="597" w:name="Tc_wcILTO8xrkKl_lcB8oXbjg_7_8"/>
      <w:bookmarkStart w:id="598" w:name="Tc_HL_KguUUHUWzhoOz78GmjQ_7_5"/>
      <w:bookmarkStart w:id="599" w:name="Tc_r930kKCNqUabEfTOPzhMqw_7_2"/>
      <w:bookmarkStart w:id="600" w:name="Tc_k8wDLHLIQE-6VhMWcqm6vw_7_0"/>
      <w:bookmarkStart w:id="601" w:name="Tc_AVdTTTU0HUms_fAhNBte3g_6_16"/>
      <w:bookmarkStart w:id="602" w:name="Tc_h449VsEtfkaWbiTQ5Bbxkg_6_13"/>
      <w:bookmarkStart w:id="603" w:name="Tc_wzxPg7Mk9EKX3gJBBNTp_A_6_10"/>
      <w:bookmarkStart w:id="604" w:name="Tc_izBj3c6QgUGz1PxdUtciRg_6_7"/>
      <w:bookmarkStart w:id="605" w:name="Tc_9Dc3GccdSEuW-1jj-p73Tg_6_4"/>
      <w:bookmarkStart w:id="606" w:name="Tc_se8o18E4cUiyO33gbsTOYQ_6_0"/>
      <w:bookmarkStart w:id="607" w:name="Tc_mWbNHspc3kGGTslzEMvUsg_5_16"/>
      <w:bookmarkStart w:id="608" w:name="Tc_VFJ8NoyGV0u2K4s_mQa5Xw_5_13"/>
      <w:bookmarkStart w:id="609" w:name="Tc_9YVFkbbpPkmQZn-T8gHKqA_5_10"/>
      <w:bookmarkStart w:id="610" w:name="Tc_ojveEJBcg0Om6sMDusgwkQ_5_7"/>
      <w:bookmarkStart w:id="611" w:name="Tc_Lvth23slSkWwq4_L8vOARA_5_4"/>
      <w:bookmarkStart w:id="612" w:name="Tc_ykXCvYAuqUGvjNr9r8DFsA_5_2"/>
      <w:bookmarkStart w:id="613" w:name="Tc_YgyS1OSkXkaUlT47ArPzBg_4_16"/>
      <w:bookmarkStart w:id="614" w:name="Tc_IqFddvntOUe63lCocyjhYA_4_13"/>
      <w:bookmarkStart w:id="615" w:name="Tc_GKqXy3M8T0O0zKz6PtThuA_4_10"/>
      <w:bookmarkStart w:id="616" w:name="Tc_LO-r0KEV00y6MEDNaFn0LQ_4_7"/>
      <w:bookmarkStart w:id="617" w:name="Tc_dBovZR5yrEO7UNUxPxzTyQ_4_2"/>
      <w:bookmarkStart w:id="618" w:name="Tc_XPmRZgQXNUinodDs3OhvJQ_3_16"/>
      <w:bookmarkStart w:id="619" w:name="Tc_INImT7P7qU-kus4pjc70Cw_3_13"/>
      <w:bookmarkStart w:id="620" w:name="Tc_GIyWmlx59kaAIL3mmKu2sA_3_7"/>
      <w:bookmarkStart w:id="621" w:name="Tc_5YFBHoCDdUSzyA9mV_Rc9g_2_13"/>
      <w:bookmarkStart w:id="622" w:name="Tc_QnUn3sRDpEKqtfyZv2p4cg_1_2"/>
      <w:bookmarkStart w:id="623" w:name="_fb181693_e669_49f2_bb1d_9129fe02484a"/>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tbl>
      <w:tblPr>
        <w:tblW w:w="10205" w:type="dxa"/>
        <w:jc w:val="left"/>
        <w:tblInd w:w="0" w:type="dxa"/>
        <w:tblLayout w:type="fixed"/>
        <w:tblCellMar>
          <w:top w:w="0" w:type="dxa"/>
          <w:left w:w="0" w:type="dxa"/>
          <w:bottom w:w="0" w:type="dxa"/>
          <w:right w:w="0" w:type="dxa"/>
        </w:tblCellMar>
      </w:tblPr>
      <w:tblGrid>
        <w:gridCol w:w="2159"/>
        <w:gridCol w:w="346"/>
        <w:gridCol w:w="916"/>
        <w:gridCol w:w="346"/>
        <w:gridCol w:w="249"/>
        <w:gridCol w:w="442"/>
        <w:gridCol w:w="406"/>
        <w:gridCol w:w="214"/>
        <w:gridCol w:w="657"/>
        <w:gridCol w:w="346"/>
        <w:gridCol w:w="240"/>
        <w:gridCol w:w="811"/>
        <w:gridCol w:w="346"/>
        <w:gridCol w:w="376"/>
        <w:gridCol w:w="840"/>
        <w:gridCol w:w="406"/>
        <w:gridCol w:w="238"/>
        <w:gridCol w:w="867"/>
      </w:tblGrid>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0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40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40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40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406" w:type="dxa"/>
            <w:tcBorders/>
            <w:vAlign w:val="center"/>
          </w:tcPr>
          <w:p>
            <w:pPr>
              <w:pStyle w:val="TableContents"/>
              <w:bidi w:val="0"/>
              <w:spacing w:before="0" w:after="1"/>
              <w:ind w:left="0" w:right="0" w:hanging="0"/>
              <w:jc w:val="left"/>
              <w:rPr/>
            </w:pPr>
            <w:r>
              <w:rPr/>
              <w:t>  ​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406" w:type="dxa"/>
            <w:tcBorders/>
            <w:vAlign w:val="center"/>
          </w:tcPr>
          <w:p>
            <w:pPr>
              <w:pStyle w:val="TableContents"/>
              <w:bidi w:val="0"/>
              <w:spacing w:before="0" w:after="1"/>
              <w:ind w:left="0" w:right="0" w:hanging="0"/>
              <w:jc w:val="left"/>
              <w:rPr/>
            </w:pPr>
            <w:r>
              <w:rPr/>
              <w:t>  ​ ​ ​ ​</w:t>
            </w:r>
          </w:p>
        </w:tc>
        <w:tc>
          <w:tcPr>
            <w:tcW w:w="11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2025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90,713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(78,256)</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12,399</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(3,947)</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(3,947)</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90,947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(82,184)</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8,666</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0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40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40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406" w:type="dxa"/>
            <w:tcBorders/>
            <w:vAlign w:val="center"/>
          </w:tcPr>
          <w:p>
            <w:pPr>
              <w:pStyle w:val="TableContents"/>
              <w:bidi w:val="0"/>
              <w:spacing w:before="0" w:after="1"/>
              <w:ind w:left="0" w:right="0" w:hanging="0"/>
              <w:jc w:val="left"/>
              <w:rPr/>
            </w:pPr>
            <w:r>
              <w:rPr/>
              <w:t>  ​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406" w:type="dxa"/>
            <w:tcBorders/>
            <w:vAlign w:val="center"/>
          </w:tcPr>
          <w:p>
            <w:pPr>
              <w:pStyle w:val="TableContents"/>
              <w:bidi w:val="0"/>
              <w:spacing w:before="0" w:after="1"/>
              <w:ind w:left="0" w:right="0" w:hanging="0"/>
              <w:jc w:val="left"/>
              <w:rPr/>
            </w:pPr>
            <w:r>
              <w:rPr/>
              <w:t>  ​ ​ ​ ​</w:t>
            </w:r>
          </w:p>
        </w:tc>
        <w:tc>
          <w:tcPr>
            <w:tcW w:w="11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15,198,232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90,495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(70,586)</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19,912</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Waiver Shares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(11,660)</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(11,660)</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 (unaudited)</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40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90,947</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(82,184)</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40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8,666</w:t>
            </w:r>
          </w:p>
        </w:tc>
      </w:tr>
      <w:tr>
        <w:trPr/>
        <w:tc>
          <w:tcPr>
            <w:tcW w:w="21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4" w:name="_dc4387e0_2a21_4221_89f4_5cfa1ade4b9c"/>
      <w:bookmarkEnd w:id="624"/>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625" w:name="CFS"/>
      <w:bookmarkEnd w:id="625"/>
      <w:r>
        <w:rPr>
          <w:rFonts w:ascii="Times New Roman;Times;serif" w:hAnsi="Times New Roman;Times;serif"/>
          <w:b/>
          <w:sz w:val="20"/>
        </w:rPr>
        <w:t>Condensed Consolidated Statements of Cash Flows</w:t>
        <w:br/>
      </w:r>
      <w:r>
        <w:rPr>
          <w:rFonts w:ascii="Times New Roman;Times;serif" w:hAnsi="Times New Roman;Times;serif"/>
          <w:b w:val="false"/>
          <w:i/>
          <w:sz w:val="20"/>
        </w:rPr>
        <w:t>(in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26" w:name="Tc_07gDBKSu202ljo5eQnsKCA_28_5"/>
      <w:bookmarkStart w:id="627" w:name="Tc_DCFW26EaJUOVtOpvEWPk2A_28_2"/>
      <w:bookmarkStart w:id="628" w:name="Tc_yzzQDAGcgU6avywSyeTRPw_28_0"/>
      <w:bookmarkStart w:id="629" w:name="Tc_FrdSYQRFUEaKcEMfyZd-FA_27_0"/>
      <w:bookmarkStart w:id="630" w:name="Tc_Vim1cOGkYE61cdXSTHebDQ_26_0"/>
      <w:bookmarkStart w:id="631" w:name="Tc_w0FylNsMm0-0BTnry0-2Dg_25_0"/>
      <w:bookmarkStart w:id="632" w:name="Tc_2JOXS_A0v0i6kH8ZjgVDPA_24_6"/>
      <w:bookmarkStart w:id="633" w:name="Tc_vjYFgaBDukiPMVUFrWe9gQ_24_3"/>
      <w:bookmarkStart w:id="634" w:name="Tc_s0eTWV_HrUauYVxjnfIfPg_24_0"/>
      <w:bookmarkStart w:id="635" w:name="Tc_4gFBesmLYkmN8ZDTQ-468Q_23_0"/>
      <w:bookmarkStart w:id="636" w:name="Tc_0R5puHV52E-qhPTQfCVRzA_22_0"/>
      <w:bookmarkStart w:id="637" w:name="Tc_zN57wHpLKE2FdEyMLgrxcQ_21_0"/>
      <w:bookmarkStart w:id="638" w:name="Tc_2VCCaKNHzky_LWBdlKVkjA_20_0"/>
      <w:bookmarkStart w:id="639" w:name="Tc_jYhYLRSYjE6lH7ewgcM5_w_19_0"/>
      <w:bookmarkStart w:id="640" w:name="Tc_RnUwzdevP02f9s9WbDR9Gg_18_0"/>
      <w:bookmarkStart w:id="641" w:name="Tc_Lm1s-sf2NkO5rCjPJGms1w_17_0"/>
      <w:bookmarkStart w:id="642" w:name="Tc_slhXEFelYE2XMlEJ0cRk4g_16_0"/>
      <w:bookmarkStart w:id="643" w:name="Tc_FI4ySWPekEGZ258PtiGE0A_15_0"/>
      <w:bookmarkStart w:id="644" w:name="Tc_Ss_nX1GGfkWLmRBOtIgb5g_14_0"/>
      <w:bookmarkStart w:id="645" w:name="Tc_J6xI2_AETU-MWQGAVutNtg_13_0"/>
      <w:bookmarkStart w:id="646" w:name="Tc_26Sm2LY7zkmf88fRvuf-aA_12_3"/>
      <w:bookmarkStart w:id="647" w:name="Tc_xAgZ4XJSY0u_FT0-Ola-Bw_12_0"/>
      <w:bookmarkStart w:id="648" w:name="Tc_LZjXS_JRaUO6Z90d22AzjQ_11_0"/>
      <w:bookmarkStart w:id="649" w:name="Tc_Wn9vxymhy0mkju_mEeS5-g_10_0"/>
      <w:bookmarkStart w:id="650" w:name="Tc_hfqczW7se0eu8HpmTXx5XQ_9_0"/>
      <w:bookmarkStart w:id="651" w:name="Tc_KYg0i-xBt0-exAPet16vbQ_8_6"/>
      <w:bookmarkStart w:id="652" w:name="Tc_88uaYCDGpE6qjHQgf7lWEg_8_0"/>
      <w:bookmarkStart w:id="653" w:name="Tc_svmYBtkYDUeOCOpaR9pyzQ_7_0"/>
      <w:bookmarkStart w:id="654" w:name="Tc_qIzNi5i7N0CTUIlZPQcakg_6_0"/>
      <w:bookmarkStart w:id="655" w:name="Tc_oeTTG3fBh0afNHC1kAHIwA_5_0"/>
      <w:bookmarkStart w:id="656" w:name="Tc_AlsegnINz0SYKEyMjLgckg_4_5"/>
      <w:bookmarkStart w:id="657" w:name="Tc_26ZvUUfkqUuqr_L-ZrE4aw_4_2"/>
      <w:bookmarkStart w:id="658" w:name="Tc_n0P9R6ytoUiS1kRWKtUeaw_4_0"/>
      <w:bookmarkStart w:id="659" w:name="Tc_feye-87KqEWRqT6o3dwVxA_3_0"/>
      <w:bookmarkStart w:id="660" w:name="Tc_Bl0LMVcom0qAzsy38by69w_2_5"/>
      <w:bookmarkStart w:id="661" w:name="Tc_GMSE4wInyEGYwFbD2Siaew_2_2"/>
      <w:bookmarkStart w:id="662" w:name="Tc_kzMGfn4MBUew02V-UtcZzw_1_2"/>
      <w:bookmarkStart w:id="663" w:name="_5e98d05c_3c54_494f_9c35_03fe724e4755"/>
      <w:bookmarkStart w:id="664" w:name="Tc_07gDBKSu202ljo5eQnsKCA_28_5"/>
      <w:bookmarkStart w:id="665" w:name="Tc_DCFW26EaJUOVtOpvEWPk2A_28_2"/>
      <w:bookmarkStart w:id="666" w:name="Tc_yzzQDAGcgU6avywSyeTRPw_28_0"/>
      <w:bookmarkStart w:id="667" w:name="Tc_FrdSYQRFUEaKcEMfyZd-FA_27_0"/>
      <w:bookmarkStart w:id="668" w:name="Tc_Vim1cOGkYE61cdXSTHebDQ_26_0"/>
      <w:bookmarkStart w:id="669" w:name="Tc_w0FylNsMm0-0BTnry0-2Dg_25_0"/>
      <w:bookmarkStart w:id="670" w:name="Tc_2JOXS_A0v0i6kH8ZjgVDPA_24_6"/>
      <w:bookmarkStart w:id="671" w:name="Tc_vjYFgaBDukiPMVUFrWe9gQ_24_3"/>
      <w:bookmarkStart w:id="672" w:name="Tc_s0eTWV_HrUauYVxjnfIfPg_24_0"/>
      <w:bookmarkStart w:id="673" w:name="Tc_4gFBesmLYkmN8ZDTQ-468Q_23_0"/>
      <w:bookmarkStart w:id="674" w:name="Tc_0R5puHV52E-qhPTQfCVRzA_22_0"/>
      <w:bookmarkStart w:id="675" w:name="Tc_zN57wHpLKE2FdEyMLgrxcQ_21_0"/>
      <w:bookmarkStart w:id="676" w:name="Tc_2VCCaKNHzky_LWBdlKVkjA_20_0"/>
      <w:bookmarkStart w:id="677" w:name="Tc_jYhYLRSYjE6lH7ewgcM5_w_19_0"/>
      <w:bookmarkStart w:id="678" w:name="Tc_RnUwzdevP02f9s9WbDR9Gg_18_0"/>
      <w:bookmarkStart w:id="679" w:name="Tc_Lm1s-sf2NkO5rCjPJGms1w_17_0"/>
      <w:bookmarkStart w:id="680" w:name="Tc_slhXEFelYE2XMlEJ0cRk4g_16_0"/>
      <w:bookmarkStart w:id="681" w:name="Tc_FI4ySWPekEGZ258PtiGE0A_15_0"/>
      <w:bookmarkStart w:id="682" w:name="Tc_Ss_nX1GGfkWLmRBOtIgb5g_14_0"/>
      <w:bookmarkStart w:id="683" w:name="Tc_J6xI2_AETU-MWQGAVutNtg_13_0"/>
      <w:bookmarkStart w:id="684" w:name="Tc_26Sm2LY7zkmf88fRvuf-aA_12_3"/>
      <w:bookmarkStart w:id="685" w:name="Tc_xAgZ4XJSY0u_FT0-Ola-Bw_12_0"/>
      <w:bookmarkStart w:id="686" w:name="Tc_LZjXS_JRaUO6Z90d22AzjQ_11_0"/>
      <w:bookmarkStart w:id="687" w:name="Tc_Wn9vxymhy0mkju_mEeS5-g_10_0"/>
      <w:bookmarkStart w:id="688" w:name="Tc_hfqczW7se0eu8HpmTXx5XQ_9_0"/>
      <w:bookmarkStart w:id="689" w:name="Tc_KYg0i-xBt0-exAPet16vbQ_8_6"/>
      <w:bookmarkStart w:id="690" w:name="Tc_88uaYCDGpE6qjHQgf7lWEg_8_0"/>
      <w:bookmarkStart w:id="691" w:name="Tc_svmYBtkYDUeOCOpaR9pyzQ_7_0"/>
      <w:bookmarkStart w:id="692" w:name="Tc_qIzNi5i7N0CTUIlZPQcakg_6_0"/>
      <w:bookmarkStart w:id="693" w:name="Tc_oeTTG3fBh0afNHC1kAHIwA_5_0"/>
      <w:bookmarkStart w:id="694" w:name="Tc_AlsegnINz0SYKEyMjLgckg_4_5"/>
      <w:bookmarkStart w:id="695" w:name="Tc_26ZvUUfkqUuqr_L-ZrE4aw_4_2"/>
      <w:bookmarkStart w:id="696" w:name="Tc_n0P9R6ytoUiS1kRWKtUeaw_4_0"/>
      <w:bookmarkStart w:id="697" w:name="Tc_feye-87KqEWRqT6o3dwVxA_3_0"/>
      <w:bookmarkStart w:id="698" w:name="Tc_Bl0LMVcom0qAzsy38by69w_2_5"/>
      <w:bookmarkStart w:id="699" w:name="Tc_GMSE4wInyEGYwFbD2Siaew_2_2"/>
      <w:bookmarkStart w:id="700" w:name="Tc_kzMGfn4MBUew02V-UtcZzw_1_2"/>
      <w:bookmarkStart w:id="701" w:name="_5e98d05c_3c54_494f_9c35_03fe724e4755"/>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tbl>
      <w:tblPr>
        <w:tblW w:w="7672" w:type="dxa"/>
        <w:jc w:val="left"/>
        <w:tblInd w:w="0" w:type="dxa"/>
        <w:tblLayout w:type="fixed"/>
        <w:tblCellMar>
          <w:top w:w="0" w:type="dxa"/>
          <w:left w:w="0" w:type="dxa"/>
          <w:bottom w:w="0" w:type="dxa"/>
          <w:right w:w="0" w:type="dxa"/>
        </w:tblCellMar>
      </w:tblPr>
      <w:tblGrid>
        <w:gridCol w:w="5101"/>
        <w:gridCol w:w="346"/>
        <w:gridCol w:w="196"/>
        <w:gridCol w:w="721"/>
        <w:gridCol w:w="346"/>
        <w:gridCol w:w="196"/>
        <w:gridCol w:w="766"/>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239135" cy="175260"/>
                      <wp:effectExtent l="0" t="0" r="0" b="0"/>
                      <wp:wrapNone/>
                      <wp:docPr id="45" name="Frame45"/>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57835" cy="175260"/>
                      <wp:effectExtent l="0" t="0" r="0" b="0"/>
                      <wp:wrapNone/>
                      <wp:docPr id="48" name="Frame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86410" cy="175260"/>
                      <wp:effectExtent l="0" t="0" r="0" b="0"/>
                      <wp:wrapNone/>
                      <wp:docPr id="51" name="Frame5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(11,660)</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convertible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(11,867)</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 of foreign currency translation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change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(12,386)</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20,586</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8,200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2" w:name="_b2e91815_396b_464c_a898_422070d01ce9"/>
      <w:bookmarkEnd w:id="702"/>
      <w:r>
        <w:rPr>
          <w:rFonts w:ascii="Times New Roman;Times;serif" w:hAnsi="Times New Roman;Times;serif"/>
          <w:b/>
          <w:sz w:val="20"/>
        </w:rPr>
        <w:t xml:space="preserve">Adagio Medical Holdings, Inc. </w:t>
      </w:r>
    </w:p>
    <w:p>
      <w:pPr>
        <w:pStyle w:val="TextBody"/>
        <w:bidi w:val="0"/>
        <w:spacing w:before="0" w:after="0"/>
        <w:ind w:left="0" w:right="0" w:hanging="0"/>
        <w:jc w:val="center"/>
        <w:rPr>
          <w:rFonts w:ascii="Times New Roman;Times;serif" w:hAnsi="Times New Roman;Times;serif"/>
          <w:b/>
          <w:sz w:val="20"/>
        </w:rPr>
      </w:pPr>
      <w:bookmarkStart w:id="703" w:name="NOTES"/>
      <w:bookmarkEnd w:id="703"/>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 Description of Organization and Business Operations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Adagio Medical Holdings, Inc. together with its wholly-owned subsidiaries (collectively, the “Company”), is a medical technology company focused on the development and commercialization of ablation technologies for the treatment of cardiac arrhythmias. The Company is currently focused on the treatment of ventricular arrhythmias with its purpose-built vCLAS™ Ventricular Ablation Systems. The Company’s technologies are based on its proprietary Ultra-Low Temperature Ablation (“ULTA”) platform, which is designed to produce durable, contiguous, transmural lesions anywhere in the heart using the Company’s differentiated catheters and consoles.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first-generation vCLAS System is currently under evaluation in the FULCRUM-VT U.S. Investigational Device Exemption (“IDE”) Pivotal Study. Enrollment in the FULCRUM-VT IDE was completed in October 2025 and in April 2026, the Company announced the six-month pivotal results from this trial, which were used to support the Company’s May 2026  submission to the U.S. Food and Drug Administration (“FDA”) of a Premarket Approval (“PMA”) application for the vCLAS Ventricular Ablation System. In April 2025, the Company received Breakthrough Device designation from the FDA for the Company’s vCLAS Ventricular Ablation System for the treatment of drug-refractory, recurrent, sustained monomorphic ventricular tachycardia (“SMVT”) in patients with ischemic or non-ischemic structural heart disease. Legacy Adagio (as defined below) received CE Mark in Europe for the vCLAS Ventricular Ablation System for ventricular tachycardia (“VT”) in March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also has in development its next-generation vCLAS </w:t>
      </w:r>
      <w:r>
        <w:rPr>
          <w:rFonts w:ascii="Times New Roman;Times;serif" w:hAnsi="Times New Roman;Times;serif"/>
          <w:i/>
          <w:sz w:val="20"/>
        </w:rPr>
        <w:t>Ultra</w:t>
      </w:r>
      <w:r>
        <w:rPr>
          <w:rFonts w:ascii="Times New Roman;Times;serif" w:hAnsi="Times New Roman;Times;serif"/>
          <w:sz w:val="20"/>
        </w:rPr>
        <w:t xml:space="preserve"> Ventricular Ablation System for the treatment of SMVT, the design of which is faster, smaller and more flexible than its predecessor vCLAS device. The Company received IDE approval from the FDA in April 2026 to expand the Company’s FULCRUM-VT trial to evaluate the safety and effectiveness of the vCLAS </w:t>
      </w:r>
      <w:r>
        <w:rPr>
          <w:rFonts w:ascii="Times New Roman;Times;serif" w:hAnsi="Times New Roman;Times;serif"/>
          <w:i/>
          <w:sz w:val="20"/>
        </w:rPr>
        <w:t>Ultra</w:t>
      </w:r>
      <w:r>
        <w:rPr>
          <w:rFonts w:ascii="Times New Roman;Times;serif" w:hAnsi="Times New Roman;Times;serif"/>
          <w:sz w:val="20"/>
        </w:rPr>
        <w:t xml:space="preserve"> System. This next-generation device, which was designed to improve customer usability, requires only a single freeze.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also developing a dual therapy ablation platform technology that combines ULTA with pulsed field ablation (“PFA”), which the Company calls pulsed field cryoablation (“PFCA”). The Company is headquartered in Laguna Hills, California.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Common Stock (as defined below) began trading on the Nasdaq Capital Market on August 1, 2024, under the symbol “ADGM”.</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accounting principles generally accepted in the United States of America (“U.S. GAAP”)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Company had cash and cash equivalents of $7.7 million and an accumulated deficit of $109.4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June 30, 2026 and June 30, 2025, net loss was $6.7 million and $3.9 million, respectively. For the six months ended June 30, 2026 and June 30, 2025, net loss was $13.7 million and $11.7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and June 30, 2025, net cash used in operating activities was $9.4 million and $11.9 million, respectively.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October 2025, the Company announced a private placement of its common stock (or pre-funded warrants to purchase common stock in lieu thereof) and accompanying warrants to purchase shares of common stock, for aggregate gross proceeds of approximately $19.0 million (excluding up to $31.0 million of additional potential gross proceeds from the cash exercise of the common stock warrants) (the “Private Placement”). In May 2026, Tranche A Warrants to purchase an aggregate of 6,012,943 shares of Common Stock (or pre-funded warrants in lieu thereof)  issued in connection with the Private Placement expired unexercised. The Company may receive up to approximately $20.6 million in additional gross proceeds from the cash exercise, if any, of the remaining Tranche B Warrants to purchase an aggregate of 6,012,943 shares of Common Stock (or pre-funded warrants in lieu thereof) and Tranche C Warrants to purchase an aggregate of 6,012,943 shares of Common Stock (or pre-funded warrants in lieu thereof).</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ASC 205-40, Presentation of Financial Statements — Going Concern, the Company evaluates at each annual and interim reporting period whether conditions or events, considered in the aggregate, raise substantial doubt about its ability to continue as a going concern within one year after the date that the condensed consolidated financial statements are issued. As of the report date, the Company does not believe its existing cash and cash equivalents are sufficient to fund its operating and capital expenditure requirements for at least 12 months from the date of issuance of these unaudited consolidated financial statements. Based on its current plans and forecasted expenses, the Company expects that its cash and cash equivalents as of the report date will enable the Company to fund its planned operating expenses and capital expenditure requirements into the fourth quarter of 2026.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intends to mitigate the conditions and events that raise substantial doubt about the Company’s ability to continue as a going concern entity by (i) negotiating other cash equity, debt or strategic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Note 2 - Summary of Significant Accounting Policies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Basis of </w:t>
      </w:r>
      <w:r>
        <w:rPr>
          <w:rFonts w:ascii="Times New Roman;Times;serif" w:hAnsi="Times New Roman;Times;serif"/>
          <w:b/>
          <w:i/>
          <w:sz w:val="20"/>
          <w:shd w:fill="FFFFFF" w:val="clear"/>
        </w:rPr>
        <w:t>Presentation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information and disclosures normally included in consolidated financial statements presented in accordance with U.S. GAAP have been condensed or omitted. Accordingly, these unaudited condensed consolidated financial statements should be read in conjunction with the audited consolidated financial statements and the related notes included in the Company’s Annual Report on Form 10-K for the year ended December 31, 2025 filed with the Securities and Exchange Commission (“SEC”) on March 27, 2026, as amended by the Amendment No. 1 on Form 10-K/A filed with the SEC on July 13, 2026 (the “2025 Annual Report”).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Unaudited </w:t>
      </w:r>
      <w:r>
        <w:rPr>
          <w:rFonts w:ascii="Times New Roman;Times;serif" w:hAnsi="Times New Roman;Times;serif"/>
          <w:b/>
          <w:i/>
          <w:sz w:val="20"/>
          <w:shd w:fill="FFFFFF" w:val="clear"/>
        </w:rPr>
        <w:t>Interim</w:t>
      </w:r>
      <w:r>
        <w:rPr>
          <w:rFonts w:ascii="Times New Roman;Times;serif" w:hAnsi="Times New Roman;Times;serif"/>
          <w:b/>
          <w:i/>
          <w:sz w:val="20"/>
        </w:rPr>
        <w:t xml:space="preserve"> Financial Information</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condensed consolidated balance sheet as of June 30, 2026; the condensed consolidated statements of operations and comprehensive loss and condensed consolidated statements of stockholders’ equity for the three and six months ended June 30, 2026 and June 30, 2025; the condensed consolidated statements of cash flows for the six months ended June 30, 2026 and June 30, 2025; and the related footnote disclosures.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U.S. GAAP and, in management’s opinion, include all adjustments, consisting only of normal recurring adjustments, necessary for a fair presentation of the Company’s financial position as of June 30, 2026, and its results of operations and comprehensive loss for the three and six months ended June 30, 2026, and June 30, 2025, and its cash flows for the six months ended June 30, 2026 and June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results for the three and six months ended June 30, 2026, are not necessarily indicative of the results that may be expected for the year ending December 31, 2026, or for any other interim period.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Emerging </w:t>
      </w:r>
      <w:r>
        <w:rPr>
          <w:rFonts w:ascii="Times New Roman;Times;serif" w:hAnsi="Times New Roman;Times;serif"/>
          <w:b/>
          <w:i/>
          <w:sz w:val="20"/>
          <w:shd w:fill="FFFFFF" w:val="clear"/>
        </w:rPr>
        <w:t>Growth</w:t>
      </w:r>
      <w:r>
        <w:rPr>
          <w:rFonts w:ascii="Times New Roman;Times;serif" w:hAnsi="Times New Roman;Times;serif"/>
          <w:b/>
          <w:i/>
          <w:sz w:val="20"/>
        </w:rPr>
        <w:t xml:space="preserve">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Principles of </w:t>
      </w:r>
      <w:r>
        <w:rPr>
          <w:rFonts w:ascii="Times New Roman;Times;serif" w:hAnsi="Times New Roman;Times;serif"/>
          <w:b/>
          <w:i/>
          <w:sz w:val="20"/>
          <w:shd w:fill="FFFFFF" w:val="clear"/>
        </w:rPr>
        <w:t>Consolidation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Adagio Medical Holdings, Inc., and its wholly-owned subsidiaries. All intercompany balances and transactions have been eliminated in consolidation.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Use of Estimates and </w:t>
      </w:r>
      <w:r>
        <w:rPr>
          <w:rFonts w:ascii="Times New Roman;Times;serif" w:hAnsi="Times New Roman;Times;serif"/>
          <w:b/>
          <w:i/>
          <w:sz w:val="20"/>
          <w:shd w:fill="FFFFFF" w:val="clear"/>
        </w:rPr>
        <w:t>Assumptions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Segments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Cash and cash equivalents were $7.7 million and $17.1 million as of June 30, 2026 and December 31, 2025, respectively.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Concentrations</w:t>
      </w:r>
      <w:r>
        <w:rPr>
          <w:rFonts w:ascii="Times New Roman;Times;serif" w:hAnsi="Times New Roman;Times;serif"/>
          <w:b/>
          <w:i/>
          <w:sz w:val="20"/>
        </w:rPr>
        <w:t xml:space="preserve"> of Credit Risk and Off-Balance Sheet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In the European region, the Company may generate product revenue primarily from the sale of catheters (the “Consumables”) used with the Company’s consoles. The Company may sell its products directly to hospitals and medical centers. To a lesser extent, the Company may also generate lease revenue from the implied rental of consoles loaned to customers at no charge.</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Generally, 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pStyle w:val="TextBody"/>
        <w:bidi w:val="0"/>
        <w:spacing w:before="120" w:after="0"/>
        <w:ind w:left="1080" w:right="0" w:hanging="0"/>
        <w:jc w:val="left"/>
        <w:rPr/>
      </w:pPr>
      <w:r>
        <w:rPr>
          <w:caps w:val="false"/>
          <w:smallCaps w:val="false"/>
        </w:rPr>
        <w:t>•</w:t>
      </w:r>
      <w:r>
        <w:rPr>
          <w:rFonts w:ascii="Times New Roman;Times;serif" w:hAnsi="Times New Roman;Times;serif"/>
          <w:sz w:val="20"/>
        </w:rPr>
        <w:t>Step 1: Identify the contract with the customer.</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2: Identify the performance obligations in the contract.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3: Determine the transaction price.</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4: Allocate the transaction price to the performance obligations in the contract.</w:t>
      </w:r>
    </w:p>
    <w:p>
      <w:pPr>
        <w:pStyle w:val="TextBody"/>
        <w:bidi w:val="0"/>
        <w:spacing w:before="0" w:after="120"/>
        <w:ind w:left="1080" w:right="0" w:hanging="0"/>
        <w:jc w:val="left"/>
        <w:rPr/>
      </w:pPr>
      <w:r>
        <w:rPr>
          <w:caps w:val="false"/>
          <w:smallCaps w:val="false"/>
        </w:rPr>
        <w:t>•</w:t>
      </w:r>
      <w:r>
        <w:rPr>
          <w:rFonts w:ascii="Times New Roman;Times;serif" w:hAnsi="Times New Roman;Times;serif"/>
          <w:sz w:val="20"/>
        </w:rPr>
        <w:t>Step 5: Recognize revenue when, or as, the Company satisfies a performance obligation.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As no revenue was recognized during the three and six months ended June 30, 2026 and 2025, no revenue was allocated to the lease components during these periods.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sales to customers of the Consumables were classified as revenue in the Company’s condensed consolidated statements of operations and comprehensive loss. The delivery of the Consumables is performance obligation-satisfied at the point in time at which the control of the goods is transferred to the customer (i.e., FOB Shipping Point). Revenue is recognized when control is transferred to the customer in an amount that reflects the consideration the Company expects to be entitled to in exchange for the product.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sz w:val="20"/>
        </w:rPr>
        <w:t xml:space="preserve">Other </w:t>
      </w:r>
      <w:r>
        <w:rPr>
          <w:rFonts w:ascii="Times New Roman;Times;serif" w:hAnsi="Times New Roman;Times;serif"/>
          <w:b w:val="false"/>
          <w:i/>
          <w:sz w:val="20"/>
          <w:shd w:fill="FFFFFF" w:val="clear"/>
        </w:rPr>
        <w:t>Revenue</w:t>
      </w:r>
      <w:r>
        <w:rPr>
          <w:rFonts w:ascii="Times New Roman;Times;serif" w:hAnsi="Times New Roman;Times;serif"/>
          <w:b/>
          <w:i/>
          <w:sz w:val="20"/>
        </w:rPr>
        <w:t xml:space="preserve"> </w:t>
      </w:r>
      <w:r>
        <w:rPr>
          <w:rFonts w:ascii="Times New Roman;Times;serif" w:hAnsi="Times New Roman;Times;serif"/>
          <w:b w:val="false"/>
          <w:i/>
          <w:sz w:val="20"/>
        </w:rPr>
        <w:t>Considerations</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Revenue is reported net of sales tax. The Company has made the accounting policy election not to recognize a separate performance obligation for the shipment of products to the customer but to account for it as fulfillment cost.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incremental costs to obtain contracts are recorded as selling, general, and administrative expense as incurred due to the short duration of the Company’s contracts.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June 30, 2025, no revenue was recognized.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Inventory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consists of raw materials, work-in-process, and finished products and is valued at the lower of cost or net realizable value. The method by which those amounts are removed from the inventory is first-in first-out.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and amortization are provided using the straight-line method over the estimated useful lives of the related assets,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or, in the case of leasehold improvements, over the remaining life of the lease term. The Company uses an estimate of three years for the useful life of its consoles.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Intangible</w:t>
      </w:r>
      <w:r>
        <w:rPr>
          <w:rFonts w:ascii="Times New Roman;Times;serif" w:hAnsi="Times New Roman;Times;serif"/>
          <w:b/>
          <w:i/>
          <w:sz w:val="20"/>
        </w:rPr>
        <w:t xml:space="preserve"> Assets</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NewRoman" w:hAnsi="TimesNewRoman"/>
          <w:sz w:val="20"/>
          <w:shd w:fill="FFFFFF" w:val="clear"/>
        </w:rPr>
        <w:t>The Company’s intangible assets subject to amortization and other long-lived assets, are reviewed </w:t>
      </w:r>
      <w:r>
        <w:rPr>
          <w:rFonts w:ascii="Times New Roman;Times;serif" w:hAnsi="Times New Roman;Times;serif"/>
          <w:sz w:val="20"/>
        </w:rPr>
        <w:t>for impairment in accordance with ASC 360</w:t>
      </w:r>
      <w:r>
        <w:rPr>
          <w:rFonts w:ascii="TimesNewRoman" w:hAnsi="TimesNewRoman"/>
          <w:sz w:val="20"/>
          <w:shd w:fill="FFFFFF" w:val="clear"/>
        </w:rPr>
        <w:t>,</w:t>
      </w:r>
      <w:r>
        <w:rPr>
          <w:rFonts w:ascii="Times New Roman;Times;serif" w:hAnsi="Times New Roman;Times;serif"/>
          <w:sz w:val="20"/>
          <w:shd w:fill="FFFFFF" w:val="clear"/>
        </w:rPr>
        <w:t> </w:t>
      </w:r>
      <w:r>
        <w:rPr>
          <w:rFonts w:ascii="TimesNewRoman" w:hAnsi="TimesNewRoman"/>
          <w:i/>
          <w:sz w:val="20"/>
          <w:shd w:fill="FFFFFF" w:val="clear"/>
        </w:rPr>
        <w:t>Property, Plant and Equipment</w:t>
      </w:r>
      <w:r>
        <w:rPr>
          <w:rFonts w:ascii="TimesNewRoman" w:hAnsi="TimesNewRoman"/>
          <w:sz w:val="20"/>
          <w:shd w:fill="FFFFFF" w:val="clear"/>
        </w:rPr>
        <w:t xml:space="preserve">,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condensed </w:t>
      </w:r>
      <w:r>
        <w:rPr>
          <w:rFonts w:ascii="Times New Roman;Times;serif" w:hAnsi="Times New Roman;Times;serif"/>
          <w:sz w:val="20"/>
        </w:rPr>
        <w:t>consolidated statements of operations and comprehensive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June 30, 2025, the Company determined that there was no impairment of definite-lived intangible assets.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If, based on the qualitative assessment, the Company determines that it is more likely than not that the asset’s fair value is less than its carrying amount, or if the Company elects to bypass the qualitative assessment, the Company performs a quantitative impairment test. The quantitative impairment test consists of a one-step analysis that compares the fair value of the indefinite-lived intangible asset to its carrying amount. If the carrying amount exceeds the fair value, an impairment loss is recognized for this difference.</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June 30, 2025, the Company determined that there was no impairment of indefinite-lived intangible assets.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ASC 350, Intangibles - Goodwill and Other, the Company tests goodwill for impairment at the reporting unit level. The Company has one reporting unit for the goodwill impairment testing purposes.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goodwill impairment charges were recorded for the three and six months ended June 30, 2026 and June 30, 2025.</w:t>
      </w:r>
    </w:p>
    <w:p>
      <w:pPr>
        <w:pStyle w:val="TextBody"/>
        <w:bidi w:val="0"/>
        <w:spacing w:before="0" w:after="0"/>
        <w:ind w:left="0" w:right="0" w:firstLine="36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Concentrations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had two suppliers exceed 10% of total accounts payable as of June 30, 2026, representing 28% of accounts payable.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three suppliers exceed 10% of total accounts payable as of December 31, 2025, representing 74% of accounts payable.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30% and 43%, respectively, of the Company’s expenditures for the six months ended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27% and 39%, respectively, of the Company’s expenditures for the six months ended June 30,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Impairment</w:t>
      </w:r>
      <w:r>
        <w:rPr>
          <w:rFonts w:ascii="Times New Roman;Times;serif" w:hAnsi="Times New Roman;Times;serif"/>
          <w:b/>
          <w:i/>
          <w:sz w:val="20"/>
        </w:rPr>
        <w:t xml:space="preserve"> of Long-Lived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June 30, 2025, the Company determined that no impairment of long-lived assets was indicated.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Foreign Currency </w:t>
      </w:r>
      <w:r>
        <w:rPr>
          <w:rFonts w:ascii="Times New Roman;Times;serif" w:hAnsi="Times New Roman;Times;serif"/>
          <w:b/>
          <w:i/>
          <w:sz w:val="20"/>
          <w:shd w:fill="FFFFFF" w:val="clear"/>
        </w:rPr>
        <w:t>Translation</w:t>
      </w:r>
      <w:r>
        <w:rPr>
          <w:rFonts w:ascii="Times New Roman;Times;serif" w:hAnsi="Times New Roman;Times;serif"/>
          <w:b/>
          <w:i/>
          <w:sz w:val="20"/>
        </w:rPr>
        <w:t xml:space="preserve"> and Transactions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condensed consolidated balance sheets and foreign currency translation adjustment in the condensed consolidated statements of operations and comprehensive loss.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Leases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Times;serif" w:hAnsi="Times New Roman;Times;serif"/>
          <w:i/>
          <w:sz w:val="20"/>
        </w:rPr>
        <w:t>Note 10 - Operating Leases</w:t>
      </w:r>
      <w:r>
        <w:rPr>
          <w:rFonts w:ascii="Times New Roman;Times;serif" w:hAnsi="Times New Roman;Times;serif"/>
          <w:sz w:val="20"/>
        </w:rPr>
        <w:t> for additional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implied rental agreements for its consoles qualify as operating leases and as such, revenue is recognized in accordance with ASC 842, Leases and ASC 606, Revenue from Contracts with Customers. As no revenue was recognized during the three and six months ended June 30, 2026 and June 30, 2025, no revenue was allocated to the lease components during these periods.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the Company’s products.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also includes the depreciation expense of consoles loaned to the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corporate and financial matters, professional fees for accounting and consulting services, marketing costs and insurance costs. The Company expenses all selling, general, and administrative costs as incurred.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w:t>
      </w:r>
      <w:r>
        <w:rPr>
          <w:rFonts w:ascii="Times New Roman;Times;serif" w:hAnsi="Times New Roman;Times;serif"/>
          <w:b/>
          <w:i/>
          <w:sz w:val="20"/>
          <w:shd w:fill="FFFFFF" w:val="clear"/>
        </w:rPr>
        <w:t>Value</w:t>
      </w:r>
      <w:r>
        <w:rPr>
          <w:rFonts w:ascii="Times New Roman;Times;serif" w:hAnsi="Times New Roman;Times;serif"/>
          <w:b/>
          <w:i/>
          <w:sz w:val="20"/>
        </w:rPr>
        <w:t xml:space="preserv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Level 1-Quoted prices in active markets for identical assets or liabilities.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2-Observable inputs other than Level 1 prices for similar assets or liabilities that are directly or indirectly observable in the marketplace.</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w:t>
      </w:r>
      <w:r>
        <w:rPr>
          <w:rFonts w:ascii="Times New Roman;Times;serif" w:hAnsi="Times New Roman;Times;serif"/>
          <w:b/>
          <w:i/>
          <w:sz w:val="20"/>
          <w:shd w:fill="FFFFFF" w:val="clear"/>
        </w:rPr>
        <w:t>Option</w:t>
      </w:r>
      <w:r>
        <w:rPr>
          <w:rFonts w:ascii="Times New Roman;Times;serif" w:hAnsi="Times New Roman;Times;serif"/>
          <w:b/>
          <w:i/>
          <w:sz w:val="20"/>
        </w:rPr>
        <w:t xml:space="preserve"> for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permitted under ASC 825, Financial Instruments (“ASC 825”), the Company elected the fair value option to account for the Convertible Securities Notes (as defined below), in order to measure those liabilities at amounts that more accurately reflect the current economic environment in which the Company operates.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Convertible Securities Notes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applying the fair value option, direct costs and fees related to the issuance of the Convertible Securities Notes were expensed as incurred (i.e., not recognized as deferred costs). Refer to </w:t>
      </w:r>
      <w:r>
        <w:rPr>
          <w:rFonts w:ascii="Times New Roman;Times;serif" w:hAnsi="Times New Roman;Times;serif"/>
          <w:i/>
          <w:sz w:val="20"/>
        </w:rPr>
        <w:t>Note 3 - Fair Value Measurements</w:t>
      </w:r>
      <w:r>
        <w:rPr>
          <w:rFonts w:ascii="Times New Roman;Times;serif" w:hAnsi="Times New Roman;Times;serif"/>
          <w:sz w:val="20"/>
        </w:rPr>
        <w:t> for further detail.</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Milestone Warrants (as defined below) issued along with the 2025 PIPE Pre-funded Warrants (as defined below) issued in the 2025 PIPE Financing (as defined below), which are classified as equity. The Company has Convert Warrants (as defined below) issued along with the Convertible Securities Notes, issued in the 2024 PIPE Financing (as defined below), which are classified as liabilities. The Company also has PIPE Base Warrants (as defined below) issued in the 2024 PIPE Financing, which are classified as equity.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determines the classification of warrants based on an assessment of the warrant’s specific terms and applicable authoritative guidance in ASC Topic 480, Distinguishing Liabilities from Equity, and ASC Topic 815, Derivatives and Hedging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9 - Warrants</w:t>
      </w:r>
      <w:r>
        <w:rPr>
          <w:rFonts w:ascii="Times New Roman;Times;serif" w:hAnsi="Times New Roman;Times;serif"/>
          <w:sz w:val="20"/>
        </w:rPr>
        <w:t xml:space="preserve"> for additional information related to the warrants.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 Based on the lack of historical data of volatility for the Company’s common stock, the Company bases its estimate of expected volatility on an average of the historical volatility of comparable public medical technology companies that reflect volatility characteristics relevant to the Company’s expected volatility analysis. The dividend yield is based upon the assumption that the Company will not declare a dividend over the life of the options. The risk-free interest rate is based on the U.S. Treasury yield curve in effect at the time of grant for bonds with maturities consistent with the expected term of the related award. Refer to </w:t>
      </w:r>
      <w:r>
        <w:rPr>
          <w:rFonts w:ascii="Times New Roman;Times;serif" w:hAnsi="Times New Roman;Times;serif"/>
          <w:i/>
          <w:sz w:val="20"/>
        </w:rPr>
        <w:t>Note 13 - Stock-Based Compensation</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or penalties on its condensed consolidated balance sheets and did not recognize any interest or penalties in its condensed consolidated statements of operations and comprehensive loss for the three and six months ended June 30, 2026 and June 30, 2025, respectively.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there have been no interest or penalties charged in relation to the unrecognized tax benefits. Refer to </w:t>
      </w:r>
      <w:r>
        <w:rPr>
          <w:rFonts w:ascii="Times New Roman;Times;serif" w:hAnsi="Times New Roman;Times;serif"/>
          <w:i/>
          <w:sz w:val="20"/>
        </w:rPr>
        <w:t>Note 15 - Income Taxes</w:t>
      </w:r>
      <w:r>
        <w:rPr>
          <w:rFonts w:ascii="Times New Roman;Times;serif" w:hAnsi="Times New Roman;Times;serif"/>
          <w:sz w:val="20"/>
        </w:rPr>
        <w:t> for additional details.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Recently Adopted Accounting Pronouncements</w:t>
      </w:r>
      <w:r>
        <w:rPr>
          <w:rFonts w:ascii="Times New Roman;Times;serif" w:hAnsi="Times New Roman;Times;serif"/>
          <w:sz w:val="20"/>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FASB issued Accounting Standards Update ASU 2023-09, Income Taxes (Topics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ASU 2023-09 is effective for annual periods beginning after December 15, 2024. The new standard permits early adoption and can be applied prospectively or retrospectively. The Company adopted the updated standard in 2025 and the adoption did not have a material impact on its consolidated financial statements and related disclosures.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Expenses,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04" w:name="Narr_dxI5Di-e6km6ha1npnYI-Q"/>
      <w:bookmarkStart w:id="705" w:name="Narr_r4mw6h4wZ0Ssb0hb-NJPsQ"/>
      <w:bookmarkStart w:id="706" w:name="Narr_dowdDMUn7UC2_mdd9oiiiw"/>
      <w:bookmarkStart w:id="707" w:name="Narr_trP4B-8WU06zoHmKGvFRVQ"/>
      <w:bookmarkStart w:id="708" w:name="_6980a040_5b30_427c_9066_c5a5e601f084_5"/>
      <w:bookmarkStart w:id="709" w:name="_6980a040_5b30_427c_9066_c5a5e601f084_4"/>
      <w:bookmarkStart w:id="710" w:name="_6980a040_5b30_427c_9066_c5a5e601f084_3"/>
      <w:bookmarkStart w:id="711" w:name="_6980a040_5b30_427c_9066_c5a5e601f084_2"/>
      <w:bookmarkStart w:id="712" w:name="_6980a040_5b30_427c_9066_c5a5e601f084"/>
      <w:bookmarkStart w:id="713" w:name="Narr_MJqM1eqrukSshCNWvLLLCA"/>
      <w:bookmarkStart w:id="714" w:name="Narr_waFfVYopIUawsuHoE5bmtw"/>
      <w:bookmarkStart w:id="715" w:name="Narr_7dy75TfWGkC5rJBdokq7xA"/>
      <w:bookmarkStart w:id="716" w:name="Narr_u1nB2mkXLUa3Q93DKd2qGg"/>
      <w:bookmarkStart w:id="717" w:name="_d208249b_10ce_44ae_8149_c94a3a4f693e_5"/>
      <w:bookmarkStart w:id="718" w:name="_d208249b_10ce_44ae_8149_c94a3a4f693e_4"/>
      <w:bookmarkStart w:id="719" w:name="_d208249b_10ce_44ae_8149_c94a3a4f693e_3"/>
      <w:bookmarkStart w:id="720" w:name="_d208249b_10ce_44ae_8149_c94a3a4f693e_2"/>
      <w:bookmarkStart w:id="721" w:name="_d208249b_10ce_44ae_8149_c94a3a4f693e"/>
      <w:bookmarkStart w:id="722" w:name="_22fb25f1_2453_4e9e_8a16_2a2553660557_5"/>
      <w:bookmarkStart w:id="723" w:name="_22fb25f1_2453_4e9e_8a16_2a2553660557_4"/>
      <w:bookmarkStart w:id="724" w:name="_22fb25f1_2453_4e9e_8a16_2a2553660557_3"/>
      <w:bookmarkStart w:id="725" w:name="_22fb25f1_2453_4e9e_8a16_2a2553660557_2"/>
      <w:bookmarkStart w:id="726" w:name="_22fb25f1_2453_4e9e_8a16_2a2553660557"/>
      <w:bookmarkStart w:id="727" w:name="Tc_EuuyLxfk5EO2nPrjX0-kdw_14_8"/>
      <w:bookmarkStart w:id="728" w:name="Tc_ZF8wNaDFvU-I8S9ePFgNEQ_14_6"/>
      <w:bookmarkStart w:id="729" w:name="Tc_GWmtIbM_bE6Z_VFDbhxxoA_14_5"/>
      <w:bookmarkStart w:id="730" w:name="Tc_A1yk6DdKq0qNU3U1feN7sQ_14_3"/>
      <w:bookmarkStart w:id="731" w:name="Tc_-t562snTnkKCQte0ZW3Gwg_14_2"/>
      <w:bookmarkStart w:id="732" w:name="Tc_QrHmSW0wQk-uxRnT348HMw_14_0"/>
      <w:bookmarkStart w:id="733" w:name="Tc_DM3sxBCJG0eWlFejTXXJRg_13_8"/>
      <w:bookmarkStart w:id="734" w:name="Tc_b4dosfLIgU6hOcDdP0aH3w_13_6"/>
      <w:bookmarkStart w:id="735" w:name="Tc_ZC58QIUMvE6hPmNqQufabQ_13_5"/>
      <w:bookmarkStart w:id="736" w:name="Tc_EK-4M6QwAEuu8DrEPoI1qQ_13_3"/>
      <w:bookmarkStart w:id="737" w:name="Tc_h-XN7D4Tok2_AZm3dj_41Q_13_2"/>
      <w:bookmarkStart w:id="738" w:name="Tc_NDBC78YIO0icgjfpR6MHrw_13_0"/>
      <w:bookmarkStart w:id="739" w:name="Tc_KCqxqI7b3ESjfBukby4qgQ_12_0"/>
      <w:bookmarkStart w:id="740" w:name="Tc_YcXlFh8xfEuzw8pr2vYF3w_11_9"/>
      <w:bookmarkStart w:id="741" w:name="Tc_dLOiRKApM0qMHvsqvhc16Q_11_8"/>
      <w:bookmarkStart w:id="742" w:name="Tc_CndEYAfdd0iO-BKBJejQhg_11_6"/>
      <w:bookmarkStart w:id="743" w:name="Tc_Xx89RExMeUCF_sn4Qph9eg_11_5"/>
      <w:bookmarkStart w:id="744" w:name="Tc_kdLQ8wSnZU-wyx-8x7B2Dg_11_2"/>
      <w:bookmarkStart w:id="745" w:name="Tc_q3qpJ26R5kmKCgPqn0FwsA_11_0"/>
      <w:bookmarkStart w:id="746" w:name="Tc_a5eBGSHSiEOlw_28jW3t7A_10_0"/>
      <w:bookmarkStart w:id="747" w:name="Tc_a0C6vR-eSEa9rfBkDP8fDw_9_8"/>
      <w:bookmarkStart w:id="748" w:name="Tc_0P8Ny6JFWUaPmRdmcziCzA_9_5"/>
      <w:bookmarkStart w:id="749" w:name="Tc_b36e-2SJNUWK8ipe2rmLig_9_2"/>
      <w:bookmarkStart w:id="750" w:name="Tc_T5NiSzXMd0OC-xYBH406Mw_9_0"/>
      <w:bookmarkStart w:id="751" w:name="Tc_86iG7X0tCkKONPiqvrinaQ_6_8"/>
      <w:bookmarkStart w:id="752" w:name="Tc_hEWAk3aqwEGpz3JwqnXyIw_6_6"/>
      <w:bookmarkStart w:id="753" w:name="Tc_AdHw1yBdwkaafXmJ7sf87g_6_5"/>
      <w:bookmarkStart w:id="754" w:name="Tc_wpgVkux1yUqNI-V329aJeQ_6_3"/>
      <w:bookmarkStart w:id="755" w:name="Tc_dzoiyZnvI0WgA3EFCzV35g_6_2"/>
      <w:bookmarkStart w:id="756" w:name="Tc_Bfi9M_GdhEe2QY4w0kakpA_6_0"/>
      <w:bookmarkStart w:id="757" w:name="Tc_SRCsnAW0CkyegpscKOUxmw_5_8"/>
      <w:bookmarkStart w:id="758" w:name="Tc_6UzwwxuszkWe1qb4CxoAWg_5_6"/>
      <w:bookmarkStart w:id="759" w:name="Tc__tXBOR_EY0KBRPEniW7nEg_5_5"/>
      <w:bookmarkStart w:id="760" w:name="Tc_PvhIcukyskWMeDUmtIISSg_5_3"/>
      <w:bookmarkStart w:id="761" w:name="Tc_-IQwI3WM2UWAgkuSYR3vQw_5_2"/>
      <w:bookmarkStart w:id="762" w:name="Tc_CVR6heUaQU6Ji2TGTJSInw_5_0"/>
      <w:bookmarkStart w:id="763" w:name="Tc_fx9UTdQcnk-VyD_i-e0Q4A_4_0"/>
      <w:bookmarkStart w:id="764" w:name="Tc_QAE5Vy7F_kO6naRywzCNqg_3_9"/>
      <w:bookmarkStart w:id="765" w:name="Tc_SUZQUa7owUqgRDhGJ6D6uQ_3_8"/>
      <w:bookmarkStart w:id="766" w:name="Tc_CAgRX_TDYE60LC_guD26dA_3_6"/>
      <w:bookmarkStart w:id="767" w:name="Tc_eAR310lwhEyr1OpftbTFUw_3_5"/>
      <w:bookmarkStart w:id="768" w:name="Tc_A15YcGtnZ0K7mjXP5ptTdw_3_2"/>
      <w:bookmarkStart w:id="769" w:name="Tc_haRx5tyN1kmSysSr13EJmA_3_0"/>
      <w:bookmarkStart w:id="770" w:name="Tc_CP_rfQoktECWxAkoF0DBLA_2_0"/>
      <w:bookmarkStart w:id="771" w:name="Tc_hXa_iVuvI0C87wuL3BWIsw_1_8"/>
      <w:bookmarkStart w:id="772" w:name="Tc_tOJr8kYas0OM4isISpg5Yg_1_5"/>
      <w:bookmarkStart w:id="773" w:name="Tc_5Rrab0KKU0qxZHeO1ioJyQ_1_2"/>
      <w:bookmarkStart w:id="774" w:name="Tc_BwBivSlAx0mgKwDdgQimIg_1_0"/>
      <w:bookmarkStart w:id="775" w:name="_e62e2488_cd5a_4d85_9fdc_358eeb85b595"/>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b/>
          <w:sz w:val="20"/>
        </w:rPr>
        <w:t>Note 3 </w:t>
      </w:r>
      <w:r>
        <w:rPr>
          <w:rFonts w:ascii="Times New Roman;Times;serif" w:hAnsi="Times New Roman;Times;serif"/>
          <w:b/>
          <w:sz w:val="20"/>
          <w:shd w:fill="FFFFFF" w:val="clear"/>
        </w:rPr>
        <w:t>-</w:t>
      </w:r>
      <w:r>
        <w:rPr>
          <w:rFonts w:ascii="Times New Roman;Times;serif" w:hAnsi="Times New Roman;Times;serif"/>
          <w:b/>
          <w:sz w:val="20"/>
        </w:rPr>
        <w:t xml:space="preserve"> Fair Value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include its money market accounts (included as part of cash and cash equivalents), accounts receivable, accounts payable, common stock warrant liabilities (i.e., the Convert Warrants), and convertible notes payables (i.e., the Convertible Securities Notes). The recorded carrying amounts of cash and equivalents, accounts receivable and accounts payable approximates fair value due to their short-term nature. The convertible notes and common stock warrant liabilities are carried at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Assets and liabilities recognized at fair value on a recurring basis in the condensed consolidated balance sheets consist of cash equivalents, common stock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financial instruments at fair value based on the fair value hierarchy for each class of instrument (in thousands):</w:t>
      </w:r>
    </w:p>
    <w:p>
      <w:pPr>
        <w:pStyle w:val="TextBody"/>
        <w:bidi w:val="0"/>
        <w:spacing w:before="0" w:after="0"/>
        <w:ind w:left="0" w:right="0" w:firstLine="360"/>
        <w:jc w:val="both"/>
        <w:rPr/>
      </w:pPr>
      <w:r>
        <w:rPr/>
        <w:t>​</w:t>
      </w:r>
    </w:p>
    <w:tbl>
      <w:tblPr>
        <w:tblW w:w="8318" w:type="dxa"/>
        <w:jc w:val="left"/>
        <w:tblInd w:w="0" w:type="dxa"/>
        <w:tblLayout w:type="fixed"/>
        <w:tblCellMar>
          <w:top w:w="0" w:type="dxa"/>
          <w:left w:w="0" w:type="dxa"/>
          <w:bottom w:w="0" w:type="dxa"/>
          <w:right w:w="0" w:type="dxa"/>
        </w:tblCellMar>
      </w:tblPr>
      <w:tblGrid>
        <w:gridCol w:w="4726"/>
        <w:gridCol w:w="346"/>
        <w:gridCol w:w="211"/>
        <w:gridCol w:w="676"/>
        <w:gridCol w:w="346"/>
        <w:gridCol w:w="277"/>
        <w:gridCol w:w="458"/>
        <w:gridCol w:w="346"/>
        <w:gridCol w:w="211"/>
        <w:gridCol w:w="721"/>
      </w:tblGrid>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7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both"/>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both"/>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both"/>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47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7,409</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47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7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both"/>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center"/>
              <w:rPr/>
            </w:pPr>
            <w:r>
              <w:rPr/>
              <w:t>​</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47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21,040</w:t>
            </w:r>
          </w:p>
        </w:tc>
      </w:tr>
      <w:tr>
        <w:trPr/>
        <w:tc>
          <w:tcPr>
            <w:tcW w:w="47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47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transfers made among the three levels in the fair value hierarchy for the six months ended June 30, 2026 and for the year ended December 31,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Company issued the $20.0 million Convertible Securities Notes to the Convert Investors (as defined below)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Times;serif" w:hAnsi="Times New Roman;Times;serif"/>
          <w:i/>
          <w:sz w:val="20"/>
        </w:rPr>
        <w:t>Note 8 - Debt</w:t>
      </w:r>
      <w:r>
        <w:rPr>
          <w:rFonts w:ascii="Times New Roman;Times;serif" w:hAnsi="Times New Roman;Times;serif"/>
          <w:sz w:val="20"/>
        </w:rPr>
        <w:t>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measures the Convertible Securities Notes at fair value based on significant inputs not observable in the market, which caused them to be classified as Level 3 measurements within the fair value hierarchy.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776" w:name="Tc_DTnzTDVnK0O0J4BF-pN15w_5_2"/>
      <w:bookmarkStart w:id="777" w:name="Tc_iCqC9zDmAkyR9UrXrrJpWw_5_0"/>
      <w:bookmarkStart w:id="778" w:name="Tc_QskMYv5N9Uapb-WtZBevwA_4_0"/>
      <w:bookmarkStart w:id="779" w:name="Tc_Q3MsaoqLVk-H9e2ZOSDmhg_3_0"/>
      <w:bookmarkStart w:id="780" w:name="Tc_T5qR7qQBtEavzge64Qd7jA_2_2"/>
      <w:bookmarkStart w:id="781" w:name="Tc_tSi5f3mBu0-5UeAuZ5bt4A_2_0"/>
      <w:bookmarkStart w:id="782" w:name="Tc_Dt28-IFzL02mVuSjbnHxjg_1_0"/>
      <w:bookmarkStart w:id="783" w:name="_a00b5f59_72c7_4da5_a486_3f3481a69f9d"/>
      <w:bookmarkStart w:id="784" w:name="Tc_gBqd_rgWl0CMzyhKm0VaZQ_5_2"/>
      <w:bookmarkStart w:id="785" w:name="Tc_Ef_JalNAH0OrpWO_WIMAJw_5_0"/>
      <w:bookmarkStart w:id="786" w:name="Tc_34fqc11lKk2soi1zujMDvQ_4_0"/>
      <w:bookmarkStart w:id="787" w:name="Tc_ppgA13K0Gk-mFjSciPnPVQ_3_0"/>
      <w:bookmarkStart w:id="788" w:name="Tc_n4K4qM79Ukmp4yU4kA1Wew_2_2"/>
      <w:bookmarkStart w:id="789" w:name="Tc_bx0KY0L5lkC28zw4bQR5ZA_2_0"/>
      <w:bookmarkStart w:id="790" w:name="Tc_Yn02vOw2MkeLH4YhVTi0aQ_1_0"/>
      <w:bookmarkStart w:id="791" w:name="_b275e483_14ff_408b_8296_9b75e6b56869"/>
      <w:bookmarkStart w:id="792" w:name="Tc_Aq_SGswCxkCDoaJdF57C7A_6_7"/>
      <w:bookmarkStart w:id="793" w:name="Tc_GItwYE76jkG_QJhhAqiMiA_6_4"/>
      <w:bookmarkStart w:id="794" w:name="Tc_wWuQXhiJukykFvPpHJXw1g_6_0"/>
      <w:bookmarkStart w:id="795" w:name="Tc_3jFxXTsx9kGtgFkaiovoAQ_5_7"/>
      <w:bookmarkStart w:id="796" w:name="Tc_uOEOnJ2JO02hc4btI4E_TQ_5_4"/>
      <w:bookmarkStart w:id="797" w:name="Tc_d8t10w2x5kyYct5pHFX6oQ_5_0"/>
      <w:bookmarkStart w:id="798" w:name="Tc_3qn4-_neXUmOyZUz4Pdzig_4_0"/>
      <w:bookmarkStart w:id="799" w:name="Tc_vlVXLeFU6EO5Dmko9ph0PQ_3_7"/>
      <w:bookmarkStart w:id="800" w:name="Tc_v116pAqVN0ClIOxt5y9mfQ_3_4"/>
      <w:bookmarkStart w:id="801" w:name="Tc_NTwg-Y4h0UCDS6RfvTWxow_3_0"/>
      <w:bookmarkStart w:id="802" w:name="Tc_deiVPOA9kk-EHTXyq1tBcQ_2_5"/>
      <w:bookmarkStart w:id="803" w:name="Tc_-qbtKpM9JEiCCq4JIb84Pw_2_2"/>
      <w:bookmarkStart w:id="804" w:name="Tc_fcRy6uLhBU6sm9KISLTuLQ_2_0"/>
      <w:bookmarkStart w:id="805" w:name="Tc_E5B4jh2KA02AZe2M7btGDA_1_5"/>
      <w:bookmarkStart w:id="806" w:name="Tc_8GZgaEhAXkKCk_FoLdQU3g_1_2"/>
      <w:bookmarkStart w:id="807" w:name="Tc_OD0RgeOc_0yF4QT2cCaJgA_1_0"/>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sz w:val="20"/>
        </w:rPr>
        <w:t>The Company utilized the binomial lattice model to value the Convertible Securities Notes as of June 30, 2026 and December 31, 2025. The following table summarizes the significant inputs as of the valuation dates:</w:t>
      </w:r>
    </w:p>
    <w:p>
      <w:pPr>
        <w:pStyle w:val="TextBody"/>
        <w:bidi w:val="0"/>
        <w:spacing w:before="0" w:after="0"/>
        <w:ind w:left="0" w:right="0" w:firstLine="360"/>
        <w:jc w:val="both"/>
        <w:rPr/>
      </w:pPr>
      <w:r>
        <w:rPr/>
        <w:t>​</w:t>
      </w:r>
    </w:p>
    <w:tbl>
      <w:tblPr>
        <w:tblW w:w="5796" w:type="dxa"/>
        <w:jc w:val="left"/>
        <w:tblInd w:w="0" w:type="dxa"/>
        <w:tblLayout w:type="fixed"/>
        <w:tblCellMar>
          <w:top w:w="0" w:type="dxa"/>
          <w:left w:w="0" w:type="dxa"/>
          <w:bottom w:w="0" w:type="dxa"/>
          <w:right w:w="0" w:type="dxa"/>
        </w:tblCellMar>
      </w:tblPr>
      <w:tblGrid>
        <w:gridCol w:w="2161"/>
        <w:gridCol w:w="346"/>
        <w:gridCol w:w="350"/>
        <w:gridCol w:w="776"/>
        <w:gridCol w:w="346"/>
        <w:gridCol w:w="467"/>
        <w:gridCol w:w="1034"/>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72235" cy="175260"/>
                      <wp:effectExtent l="0" t="0" r="0" b="0"/>
                      <wp:wrapNone/>
                      <wp:docPr id="52" name="Frame5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2250" cy="175260"/>
                      <wp:effectExtent l="0" t="0" r="0" b="0"/>
                      <wp:wrapNone/>
                      <wp:docPr id="54" name="Frame5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2760" cy="175260"/>
                      <wp:effectExtent l="0" t="0" r="0" b="0"/>
                      <wp:wrapNone/>
                      <wp:docPr id="55" name="Frame55"/>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6545" cy="175260"/>
                      <wp:effectExtent l="0" t="0" r="0" b="0"/>
                      <wp:wrapNone/>
                      <wp:docPr id="57" name="Frame57"/>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56590" cy="175260"/>
                      <wp:effectExtent l="0" t="0" r="0" b="0"/>
                      <wp:wrapNone/>
                      <wp:docPr id="58" name="Frame58"/>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0660" cy="175260"/>
                      <wp:effectExtent l="0" t="0" r="0" b="0"/>
                      <wp:wrapNone/>
                      <wp:docPr id="59" name="Frame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w:t>
            </w:r>
          </w:p>
        </w:tc>
        <w:tc>
          <w:tcPr>
            <w:tcW w:w="346" w:type="dxa"/>
            <w:tcBorders/>
            <w:vAlign w:val="center"/>
          </w:tcPr>
          <w:p>
            <w:pPr>
              <w:pStyle w:val="TableContents"/>
              <w:bidi w:val="0"/>
              <w:spacing w:before="0" w:after="0"/>
              <w:ind w:left="0" w:right="0" w:hanging="0"/>
              <w:jc w:val="both"/>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both"/>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price</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shd w:fill="CCEEFF" w:val="clear"/>
            <w:vAlign w:val="center"/>
          </w:tcPr>
          <w:p>
            <w:pPr>
              <w:pStyle w:val="TableContents"/>
              <w:bidi w:val="0"/>
              <w:spacing w:before="0" w:after="0"/>
              <w:ind w:left="0" w:right="0" w:hanging="0"/>
              <w:jc w:val="center"/>
              <w:rPr/>
            </w:pPr>
            <w:r>
              <w:rPr/>
              <w:t>​</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six months ended June 30, 2026 (in thousands):</w:t>
      </w:r>
    </w:p>
    <w:p>
      <w:pPr>
        <w:pStyle w:val="TextBody"/>
        <w:bidi w:val="0"/>
        <w:spacing w:before="0" w:after="0"/>
        <w:ind w:left="0" w:right="0" w:firstLine="360"/>
        <w:jc w:val="both"/>
        <w:rPr/>
      </w:pPr>
      <w:r>
        <w:rPr/>
        <w:t>​</w:t>
      </w:r>
    </w:p>
    <w:tbl>
      <w:tblPr>
        <w:tblW w:w="5782" w:type="dxa"/>
        <w:jc w:val="left"/>
        <w:tblInd w:w="0" w:type="dxa"/>
        <w:tblLayout w:type="fixed"/>
        <w:tblCellMar>
          <w:top w:w="0" w:type="dxa"/>
          <w:left w:w="0" w:type="dxa"/>
          <w:bottom w:w="0" w:type="dxa"/>
          <w:right w:w="0" w:type="dxa"/>
        </w:tblCellMar>
      </w:tblPr>
      <w:tblGrid>
        <w:gridCol w:w="4681"/>
        <w:gridCol w:w="109"/>
        <w:gridCol w:w="211"/>
        <w:gridCol w:w="78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972435" cy="175260"/>
                      <wp:effectExtent l="0" t="0" r="0" b="0"/>
                      <wp:wrapNone/>
                      <wp:docPr id="60" name="Frame60"/>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 - Six Months Ended June 30, 2026</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24,836</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six months ended June 30, 2025 (in thousands):</w:t>
      </w:r>
    </w:p>
    <w:p>
      <w:pPr>
        <w:pStyle w:val="TextBody"/>
        <w:bidi w:val="0"/>
        <w:spacing w:before="0" w:after="240"/>
        <w:ind w:left="0" w:right="0" w:hanging="0"/>
        <w:jc w:val="both"/>
        <w:rPr/>
      </w:pPr>
      <w:r>
        <w:rPr/>
        <w:t>​</w:t>
      </w:r>
    </w:p>
    <w:tbl>
      <w:tblPr>
        <w:tblW w:w="5782" w:type="dxa"/>
        <w:jc w:val="left"/>
        <w:tblInd w:w="0" w:type="dxa"/>
        <w:tblLayout w:type="fixed"/>
        <w:tblCellMar>
          <w:top w:w="0" w:type="dxa"/>
          <w:left w:w="0" w:type="dxa"/>
          <w:bottom w:w="0" w:type="dxa"/>
          <w:right w:w="0" w:type="dxa"/>
        </w:tblCellMar>
      </w:tblPr>
      <w:tblGrid>
        <w:gridCol w:w="4681"/>
        <w:gridCol w:w="109"/>
        <w:gridCol w:w="211"/>
        <w:gridCol w:w="78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72435" cy="175260"/>
                      <wp:effectExtent l="0" t="0" r="0" b="0"/>
                      <wp:wrapNone/>
                      <wp:docPr id="64" name="Frame64"/>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Convertible Securities Notes - Six Months Ended June 30, 2025</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16,945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Company issued 1,500,000 Convert Warrants in connection with the issuance of the $20.0 million Convertible Securities Notes. Refer to </w:t>
      </w:r>
      <w:r>
        <w:rPr>
          <w:rFonts w:ascii="Times New Roman;Times;serif" w:hAnsi="Times New Roman;Times;serif"/>
          <w:i/>
          <w:sz w:val="20"/>
        </w:rPr>
        <w:t>Note 9 - Warrants</w:t>
      </w:r>
      <w:r>
        <w:rPr>
          <w:rFonts w:ascii="Times New Roman;Times;serif" w:hAnsi="Times New Roman;Times;serif"/>
          <w:sz w:val="20"/>
        </w:rPr>
        <w:t>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if it fails to timely deliver shares to the holder who exercises the Convert Warrants or upon the occurrence of a fundamental transaction. It is determined that the Convert Warrants do not meet the equity classification requirements under ASC 815 as the Convert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808" w:name="Tc_2BZZ9KoKzEuIsy3tX5iNog_4_2"/>
      <w:bookmarkStart w:id="809" w:name="Tc_Aa99AMaAcEWk85341UINgQ_4_0"/>
      <w:bookmarkStart w:id="810" w:name="Tc_jDjb82fXoU2Xx3RZHrlPUw_3_0"/>
      <w:bookmarkStart w:id="811" w:name="Tc_ND082CzJykOA1F0ckaZllA_2_2"/>
      <w:bookmarkStart w:id="812" w:name="Tc_eyXzBEm1sEOTM3VxmuwCwA_2_0"/>
      <w:bookmarkStart w:id="813" w:name="Tc_1uYnZXYEMUOh-VAyISGLVQ_1_0"/>
      <w:bookmarkStart w:id="814" w:name="_c554b27f_0722_493c_908b_1cb48e063067"/>
      <w:bookmarkStart w:id="815" w:name="Tc_DWguPP4uaUKsymnjy68mIg_4_2"/>
      <w:bookmarkStart w:id="816" w:name="Tc_7GyJTSCuc0yFJlXLOnUTkA_4_0"/>
      <w:bookmarkStart w:id="817" w:name="Tc_7vf1RyArLkuPchDe0ysQAg_3_0"/>
      <w:bookmarkStart w:id="818" w:name="Tc_h3voKEtSdEWnXxOkaP1Dig_2_2"/>
      <w:bookmarkStart w:id="819" w:name="Tc_JV6BWpBfzkOk_Z53ViaXOg_2_0"/>
      <w:bookmarkStart w:id="820" w:name="Tc_3fQD8tcctUmbA0EbqwxFVw_1_0"/>
      <w:bookmarkStart w:id="821" w:name="_e597adf5_ae63_4a7f_a1a4_3345a44e4dbd"/>
      <w:bookmarkStart w:id="822" w:name="Tc_kV3R1mCJnEGvN9nx58TvDg_6_0"/>
      <w:bookmarkStart w:id="823" w:name="Tc_dt6hjx2Cok2hx0QrWErbEQ_5_7"/>
      <w:bookmarkStart w:id="824" w:name="Tc_27b6I1zRvE6gtZ73AWoqNQ_5_6"/>
      <w:bookmarkStart w:id="825" w:name="Tc_MH-X_mO200eGOt1mqWuUTA_5_4"/>
      <w:bookmarkStart w:id="826" w:name="Tc_UCfh_jiZRUSTI0Ift1edEw_5_3"/>
      <w:bookmarkStart w:id="827" w:name="Tc_uIo9pdKfSUOszlox3QLBrQ_5_0"/>
      <w:bookmarkStart w:id="828" w:name="Tc_IT5Rh9mNvEiiZvUSEgDh8g_4_7"/>
      <w:bookmarkStart w:id="829" w:name="Tc_vVr6jq7pLEa9WZN89L7Ugw_4_4"/>
      <w:bookmarkStart w:id="830" w:name="Tc_bsigKiMwfUO3Vo0vpi2SbA_4_0"/>
      <w:bookmarkStart w:id="831" w:name="Tc_lXPDRtqnaUKQwdF2c8RB-g_3_7"/>
      <w:bookmarkStart w:id="832" w:name="Tc_49ccs0nu00-1TeubWmrEGA_3_4"/>
      <w:bookmarkStart w:id="833" w:name="Tc_2g0uzVnHU0uRNVVGmIYoKw_3_0"/>
      <w:bookmarkStart w:id="834" w:name="Tc_LEuMwvuwVEm7koOjIOptTw_2_5"/>
      <w:bookmarkStart w:id="835" w:name="Tc_Ibxa2-Gq7EydJwviDOvHDA_2_2"/>
      <w:bookmarkStart w:id="836" w:name="Tc_snWq2zoBPUqiYWZGZVhIXQ_2_0"/>
      <w:bookmarkStart w:id="837" w:name="Tc_6P27XOK1q0CDhxep9WbBuQ_1_5"/>
      <w:bookmarkStart w:id="838" w:name="Tc_2lvuFed_q06bWneSYCOOxg_1_2"/>
      <w:bookmarkStart w:id="839" w:name="Tc_UFJfk6LaUkee-YfL94eU-Q_1_0"/>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sz w:val="20"/>
        </w:rPr>
        <w:t>The Convert Warrants are classified as Level 3 measurements within the fair value hierarchy. The Company utilized the Black-Scholes-Merton option model to value the Convert Warrants as of June 30, 2026 and December 31, 2025. The following table summarizes the significant inputs as of the valuation dates:</w:t>
      </w:r>
    </w:p>
    <w:p>
      <w:pPr>
        <w:pStyle w:val="TextBody"/>
        <w:bidi w:val="0"/>
        <w:spacing w:before="0" w:after="0"/>
        <w:ind w:left="0" w:right="0" w:firstLine="360"/>
        <w:jc w:val="both"/>
        <w:rPr/>
      </w:pPr>
      <w:r>
        <w:rPr/>
        <w:t>​</w:t>
      </w:r>
    </w:p>
    <w:tbl>
      <w:tblPr>
        <w:tblW w:w="5454" w:type="dxa"/>
        <w:jc w:val="left"/>
        <w:tblInd w:w="0" w:type="dxa"/>
        <w:tblLayout w:type="fixed"/>
        <w:tblCellMar>
          <w:top w:w="0" w:type="dxa"/>
          <w:left w:w="0" w:type="dxa"/>
          <w:bottom w:w="0" w:type="dxa"/>
          <w:right w:w="0" w:type="dxa"/>
        </w:tblCellMar>
      </w:tblPr>
      <w:tblGrid>
        <w:gridCol w:w="2131"/>
        <w:gridCol w:w="109"/>
        <w:gridCol w:w="350"/>
        <w:gridCol w:w="776"/>
        <w:gridCol w:w="271"/>
        <w:gridCol w:w="467"/>
        <w:gridCol w:w="1034"/>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53185" cy="175260"/>
                      <wp:effectExtent l="0" t="0" r="0" b="0"/>
                      <wp:wrapNone/>
                      <wp:docPr id="68" name="Frame6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22250" cy="175260"/>
                      <wp:effectExtent l="0" t="0" r="0" b="0"/>
                      <wp:wrapNone/>
                      <wp:docPr id="70" name="Frame7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2760" cy="175260"/>
                      <wp:effectExtent l="0" t="0" r="0" b="0"/>
                      <wp:wrapNone/>
                      <wp:docPr id="71" name="Frame71"/>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2085" cy="175260"/>
                      <wp:effectExtent l="0" t="0" r="0" b="0"/>
                      <wp:wrapNone/>
                      <wp:docPr id="72" name="Frame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6545" cy="175260"/>
                      <wp:effectExtent l="0" t="0" r="0" b="0"/>
                      <wp:wrapNone/>
                      <wp:docPr id="73" name="Frame73"/>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56590" cy="175260"/>
                      <wp:effectExtent l="0" t="0" r="0" b="0"/>
                      <wp:wrapNone/>
                      <wp:docPr id="74" name="Frame74"/>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660" cy="175260"/>
                      <wp:effectExtent l="0" t="0" r="0" b="0"/>
                      <wp:wrapNone/>
                      <wp:docPr id="75" name="Frame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71"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price</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 Warrants measured at fair value for the six months ended June 30, 2026 (in thousands):</w:t>
      </w:r>
    </w:p>
    <w:p>
      <w:pPr>
        <w:pStyle w:val="TextBody"/>
        <w:bidi w:val="0"/>
        <w:spacing w:before="0" w:after="0"/>
        <w:ind w:left="0" w:right="0" w:firstLine="360"/>
        <w:jc w:val="both"/>
        <w:rPr/>
      </w:pPr>
      <w:r>
        <w:rPr/>
        <w:t>​</w:t>
      </w:r>
    </w:p>
    <w:tbl>
      <w:tblPr>
        <w:tblW w:w="4792" w:type="dxa"/>
        <w:jc w:val="left"/>
        <w:tblInd w:w="0" w:type="dxa"/>
        <w:tblLayout w:type="fixed"/>
        <w:tblCellMar>
          <w:top w:w="0" w:type="dxa"/>
          <w:left w:w="0" w:type="dxa"/>
          <w:bottom w:w="0" w:type="dxa"/>
          <w:right w:w="0" w:type="dxa"/>
        </w:tblCellMar>
      </w:tblPr>
      <w:tblGrid>
        <w:gridCol w:w="3991"/>
        <w:gridCol w:w="109"/>
        <w:gridCol w:w="211"/>
        <w:gridCol w:w="48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534285" cy="175260"/>
                      <wp:effectExtent l="0" t="0" r="0" b="0"/>
                      <wp:wrapNone/>
                      <wp:docPr id="76" name="Frame7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05435" cy="175260"/>
                      <wp:effectExtent l="0" t="0" r="0" b="0"/>
                      <wp:wrapNone/>
                      <wp:docPr id="79" name="Frame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 - Six Months Ended June 30, 2026</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 Warrants measured at fair value for the six months ended June 30, 2025 (in thousands):</w:t>
      </w:r>
    </w:p>
    <w:p>
      <w:pPr>
        <w:pStyle w:val="TextBody"/>
        <w:bidi w:val="0"/>
        <w:spacing w:before="0" w:after="0"/>
        <w:ind w:left="0" w:right="0" w:firstLine="360"/>
        <w:jc w:val="both"/>
        <w:rPr/>
      </w:pPr>
      <w:r>
        <w:rPr/>
        <w:t>​</w:t>
      </w:r>
    </w:p>
    <w:tbl>
      <w:tblPr>
        <w:tblW w:w="4837" w:type="dxa"/>
        <w:jc w:val="left"/>
        <w:tblInd w:w="0" w:type="dxa"/>
        <w:tblLayout w:type="fixed"/>
        <w:tblCellMar>
          <w:top w:w="0" w:type="dxa"/>
          <w:left w:w="0" w:type="dxa"/>
          <w:bottom w:w="0" w:type="dxa"/>
          <w:right w:w="0" w:type="dxa"/>
        </w:tblCellMar>
      </w:tblPr>
      <w:tblGrid>
        <w:gridCol w:w="3991"/>
        <w:gridCol w:w="109"/>
        <w:gridCol w:w="211"/>
        <w:gridCol w:w="52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34285" cy="175260"/>
                      <wp:effectExtent l="0" t="0" r="0" b="0"/>
                      <wp:wrapNone/>
                      <wp:docPr id="80" name="Frame8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34010" cy="175260"/>
                      <wp:effectExtent l="0" t="0" r="0" b="0"/>
                      <wp:wrapNone/>
                      <wp:docPr id="83" name="Frame8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 - Six Months Ended June 30, 2025</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40" w:name="Tc_BlNwt1Ro3Eeo7W0L_LysDg_6_5"/>
      <w:bookmarkStart w:id="841" w:name="Tc_uV8OkJ6rg0O8JYszmQnuFA_6_2"/>
      <w:bookmarkStart w:id="842" w:name="Tc_wSZ0Er_uWUC5OlNbcFNxEw_6_0"/>
      <w:bookmarkStart w:id="843" w:name="Tc_GrZ0ACqaiEKE_PjD6nzAXA_5_0"/>
      <w:bookmarkStart w:id="844" w:name="Tc_AOPtqt-SPU-9yeoT9kenWg_4_0"/>
      <w:bookmarkStart w:id="845" w:name="Tc_wEx86bpI8kCWwzh3ICJEWQ_3_5"/>
      <w:bookmarkStart w:id="846" w:name="Tc_fJx7ILWKlk6aihLyR-qNRw_3_2"/>
      <w:bookmarkStart w:id="847" w:name="Tc_WsHibQi_cU2HOQt83ciHig_3_0"/>
      <w:bookmarkStart w:id="848" w:name="Tc_GT5rWZBJa0SXphU0fFgVyQ_2_5"/>
      <w:bookmarkStart w:id="849" w:name="Tc_UecfAVy67kaPMdfkqLCCtg_2_2"/>
      <w:bookmarkStart w:id="850" w:name="Tc_81npGab-hU-A5jesdFIEnQ_1_5"/>
      <w:bookmarkStart w:id="851" w:name="Tc_BwhSfgxdEUChLbbs0Cxy2A_1_2"/>
      <w:bookmarkStart w:id="852" w:name="_f14ead30_4219_4689_a226_1d0a55902da0"/>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sz w:val="20"/>
        </w:rPr>
        <w:t>Note 4 - Inventory,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as of June 30, 2026 and December 31, 2025, consists of the following (in thousands):</w:t>
      </w:r>
    </w:p>
    <w:p>
      <w:pPr>
        <w:pStyle w:val="TextBody"/>
        <w:bidi w:val="0"/>
        <w:spacing w:before="0" w:after="0"/>
        <w:ind w:left="0" w:right="0" w:firstLine="360"/>
        <w:jc w:val="both"/>
        <w:rPr/>
      </w:pPr>
      <w:r>
        <w:rPr/>
        <w:t>​</w:t>
      </w:r>
    </w:p>
    <w:tbl>
      <w:tblPr>
        <w:tblW w:w="4173" w:type="dxa"/>
        <w:jc w:val="left"/>
        <w:tblInd w:w="0" w:type="dxa"/>
        <w:tblLayout w:type="fixed"/>
        <w:tblCellMar>
          <w:top w:w="0" w:type="dxa"/>
          <w:left w:w="0" w:type="dxa"/>
          <w:bottom w:w="0" w:type="dxa"/>
          <w:right w:w="0" w:type="dxa"/>
        </w:tblCellMar>
      </w:tblPr>
      <w:tblGrid>
        <w:gridCol w:w="1456"/>
        <w:gridCol w:w="346"/>
        <w:gridCol w:w="214"/>
        <w:gridCol w:w="581"/>
        <w:gridCol w:w="346"/>
        <w:gridCol w:w="292"/>
        <w:gridCol w:w="938"/>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24560" cy="175260"/>
                      <wp:effectExtent l="0" t="0" r="0" b="0"/>
                      <wp:wrapNone/>
                      <wp:docPr id="84" name="Frame8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5890" cy="175260"/>
                      <wp:effectExtent l="0" t="0" r="0" b="0"/>
                      <wp:wrapNone/>
                      <wp:docPr id="86" name="Frame8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8935" cy="175260"/>
                      <wp:effectExtent l="0" t="0" r="0" b="0"/>
                      <wp:wrapNone/>
                      <wp:docPr id="87" name="Frame87"/>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5420" cy="175260"/>
                      <wp:effectExtent l="0" t="0" r="0" b="0"/>
                      <wp:wrapNone/>
                      <wp:docPr id="89" name="Frame89"/>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5630" cy="175260"/>
                      <wp:effectExtent l="0" t="0" r="0" b="0"/>
                      <wp:wrapNone/>
                      <wp:docPr id="90" name="Frame90"/>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Obsolete and expired inventory are expensed as incurred. Inventory is recorded net of obsolescence and manufacturing scrap of $64 thousand and $0.3 million as of June 30, 2026 and December 31, 2025, respectively. As of June 30, 2026, all the Company’s inventory is related to catheters and consoles.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53" w:name="Tc_xTfifCzgQ0OM8GiBwf88zQ_13_5"/>
      <w:bookmarkStart w:id="854" w:name="Tc_gLMn2o3XKE-sf45fdiPCsg_13_2"/>
      <w:bookmarkStart w:id="855" w:name="Tc_3X69djINWkqgnP651HJzZA_13_0"/>
      <w:bookmarkStart w:id="856" w:name="Tc_mIYJ8Ezj0EGzgYiJ-VdseQ_12_0"/>
      <w:bookmarkStart w:id="857" w:name="Tc_-x_7czmyIEOpsMah3IvTbw_11_0"/>
      <w:bookmarkStart w:id="858" w:name="Tc_PT_hH0Om0EOVHSpewhd4rA_10_0"/>
      <w:bookmarkStart w:id="859" w:name="Tc_MDqMfD1V9k-YlnlWjphaqQ_9_0"/>
      <w:bookmarkStart w:id="860" w:name="Tc_nLYMHvy6N0iGW_cTBD5uqw_8_0"/>
      <w:bookmarkStart w:id="861" w:name="Tc_4t9ZLWYm-ka5655jlT4lWg_7_0"/>
      <w:bookmarkStart w:id="862" w:name="Tc_X2HsTtZeX0abnATDamDtYQ_6_0"/>
      <w:bookmarkStart w:id="863" w:name="Tc_qykXFhg6-0SNHmn_K-ZGUw_5_0"/>
      <w:bookmarkStart w:id="864" w:name="Tc_ub0RBRSRKUC48ai4KfhDFg_4_0"/>
      <w:bookmarkStart w:id="865" w:name="Tc_uIYQI3vtnE-JGm_1ApmbQA_3_5"/>
      <w:bookmarkStart w:id="866" w:name="Tc_KA9wTSL_3U6htmsUP7lEOA_3_2"/>
      <w:bookmarkStart w:id="867" w:name="Tc_TJy6savAfEOzDP8AFkuOSw_3_0"/>
      <w:bookmarkStart w:id="868" w:name="Tc_PgRENdJvAEiF16TpkgnVVA_2_5"/>
      <w:bookmarkStart w:id="869" w:name="Tc_rzCNJT7YnE2Gk2wRjPuyDg_2_2"/>
      <w:bookmarkStart w:id="870" w:name="Tc_NSbri1sVeEuAIEteDL0GzA_1_5"/>
      <w:bookmarkStart w:id="871" w:name="Tc_WkSerYN8nUupdSfuMF5dSg_1_2"/>
      <w:bookmarkStart w:id="872" w:name="_eb2e077a_22af_431f_91ba_9007ca0b03cd"/>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Note 5 -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property and equipment, net, as of June 30, 2026 and December 31, 2025, consists of the following (in thousands):</w:t>
      </w:r>
    </w:p>
    <w:p>
      <w:pPr>
        <w:pStyle w:val="TextBody"/>
        <w:bidi w:val="0"/>
        <w:spacing w:before="0" w:after="0"/>
        <w:ind w:left="0" w:right="0" w:hanging="0"/>
        <w:jc w:val="left"/>
        <w:rPr/>
      </w:pPr>
      <w:r>
        <w:rPr/>
        <w:t>​</w:t>
      </w:r>
    </w:p>
    <w:tbl>
      <w:tblPr>
        <w:tblW w:w="5555" w:type="dxa"/>
        <w:jc w:val="left"/>
        <w:tblInd w:w="0" w:type="dxa"/>
        <w:tblLayout w:type="fixed"/>
        <w:tblCellMar>
          <w:top w:w="0" w:type="dxa"/>
          <w:left w:w="0" w:type="dxa"/>
          <w:bottom w:w="0" w:type="dxa"/>
          <w:right w:w="0" w:type="dxa"/>
        </w:tblCellMar>
      </w:tblPr>
      <w:tblGrid>
        <w:gridCol w:w="2731"/>
        <w:gridCol w:w="346"/>
        <w:gridCol w:w="211"/>
        <w:gridCol w:w="691"/>
        <w:gridCol w:w="346"/>
        <w:gridCol w:w="292"/>
        <w:gridCol w:w="938"/>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34185" cy="175260"/>
                      <wp:effectExtent l="0" t="0" r="0" b="0"/>
                      <wp:wrapNone/>
                      <wp:docPr id="91" name="Frame9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785" cy="175260"/>
                      <wp:effectExtent l="0" t="0" r="0" b="0"/>
                      <wp:wrapNone/>
                      <wp:docPr id="94"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5420" cy="175260"/>
                      <wp:effectExtent l="0" t="0" r="0" b="0"/>
                      <wp:wrapNone/>
                      <wp:docPr id="96" name="Frame9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5630" cy="175260"/>
                      <wp:effectExtent l="0" t="0" r="0" b="0"/>
                      <wp:wrapNone/>
                      <wp:docPr id="97" name="Frame97"/>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46" w:type="dxa"/>
            <w:tcBorders/>
            <w:shd w:fill="CCEEFF" w:val="clear"/>
            <w:vAlign w:val="center"/>
          </w:tcPr>
          <w:p>
            <w:pPr>
              <w:pStyle w:val="TableContents"/>
              <w:bidi w:val="0"/>
              <w:spacing w:before="0" w:after="0"/>
              <w:ind w:left="0" w:right="0" w:hanging="0"/>
              <w:jc w:val="center"/>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Tools and molds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$0.2 million and $0.4 million for the three and six months ended June 30, 2026, respectively, and $0.2 million and $0.5 million for the three and six months ended June 30,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73" w:name="Tc_G3tlTfhkakqwQE_BtiTqwA_3_7"/>
      <w:bookmarkStart w:id="874" w:name="Tc_ui8mbhwkKEu7phpyBXiTTA_3_5"/>
      <w:bookmarkStart w:id="875" w:name="Tc_kipRXJAJ50q7T5GpIq7ItA_3_4"/>
      <w:bookmarkStart w:id="876" w:name="Tc_kVDTlfCOoEum3V3pN7-Ubw_3_1"/>
      <w:bookmarkStart w:id="877" w:name="Tc_6NYFPhzGAUaoi2POtmD7Ww_3_0"/>
      <w:bookmarkStart w:id="878" w:name="Tc_5ygupYMQ2EWPDmWrgpQhDg_2_7"/>
      <w:bookmarkStart w:id="879" w:name="Tc_weZ3CzreV0KBBMJrwJS0-w_2_4"/>
      <w:bookmarkStart w:id="880" w:name="Tc_HayCrBhMXU22CDd81lDveg_2_1"/>
      <w:bookmarkStart w:id="881" w:name="Tc_73FCKHMdgUmGafOuWrrWVQ_1_1"/>
      <w:bookmarkStart w:id="882" w:name="_0546526e_f2b0_4b48_85a8_6cf0d6323316"/>
      <w:bookmarkStart w:id="883" w:name="Tc_FBROscdoB0uxayxc-FV-3w_3_7"/>
      <w:bookmarkStart w:id="884" w:name="Tc_2iToOUdHi0e05HFnd4LLVA_3_5"/>
      <w:bookmarkStart w:id="885" w:name="Tc_1_gLsWHgBkeuNlKJCmyN5A_3_4"/>
      <w:bookmarkStart w:id="886" w:name="Tc_ccOry_-lsk-ilgo_iobUfg_3_1"/>
      <w:bookmarkStart w:id="887" w:name="Tc_71ATPRKwCUyxWa6zQlGKSg_3_0"/>
      <w:bookmarkStart w:id="888" w:name="Tc_XGsPkRYNr02qjjX5aTDkrA_2_7"/>
      <w:bookmarkStart w:id="889" w:name="Tc_MdKlFg03X0ifKWRCLlUnAg_2_4"/>
      <w:bookmarkStart w:id="890" w:name="Tc_2RUdVp8ElkqwC1y1JJHH7w_2_1"/>
      <w:bookmarkStart w:id="891" w:name="Tc_61xJc4V47UWWIaMJ3rtP9w_1_1"/>
      <w:bookmarkStart w:id="892" w:name="_86ed089a_bcb1_4993_9d80_78efd1bb7066"/>
      <w:bookmarkStart w:id="893" w:name="Tc_sw_ZVJO88EGc5-LHgzphBw_5_10"/>
      <w:bookmarkStart w:id="894" w:name="Tc_gpw6PBrxKEuVCgUjlR0rnQ_5_8"/>
      <w:bookmarkStart w:id="895" w:name="Tc_qGNYyvBof0m2oSUeg7J_Tw_5_7"/>
      <w:bookmarkStart w:id="896" w:name="Tc_RdEmamNNwkSL1orTAM1Mhw_5_4"/>
      <w:bookmarkStart w:id="897" w:name="Tc_kEssFp2V9Eq3BoVDSrTEig_5_0"/>
      <w:bookmarkStart w:id="898" w:name="Tc_ML_5LprMjkeBeL4kIsVTLQ_4_10"/>
      <w:bookmarkStart w:id="899" w:name="Tc_P8MWyhClf0Ceqi8M691vQQ_4_8"/>
      <w:bookmarkStart w:id="900" w:name="Tc_IoXsZ5oR_UufgHxLYPy4aQ_4_7"/>
      <w:bookmarkStart w:id="901" w:name="Tc_UfrUgHIl4EuOCzcaZqeglg_4_4"/>
      <w:bookmarkStart w:id="902" w:name="Tc_J09r1Sr6qkSIjdno3j_BRA_4_2"/>
      <w:bookmarkStart w:id="903" w:name="Tc_GKK85WuP_kKdVu1YTiCprw_4_0"/>
      <w:bookmarkStart w:id="904" w:name="Tc_8WUfQxq4aUqPuDpVbImdbQ_3_10"/>
      <w:bookmarkStart w:id="905" w:name="Tc_ILgRV0xrmU2AGFhyM5Zf2g_3_7"/>
      <w:bookmarkStart w:id="906" w:name="Tc_US2chzMYm0-JSv5GAC6lCQ_3_4"/>
      <w:bookmarkStart w:id="907" w:name="Tc_X5chrJr5sk6RfFtiVDO6SQ_3_2"/>
      <w:bookmarkStart w:id="908" w:name="Tc_VZG8z4cMR0C57JCCYKzS1A_2_2"/>
      <w:bookmarkStart w:id="909" w:name="_2a504d54_d2f6_441f_a554_38d1ba899e2b"/>
      <w:bookmarkStart w:id="910" w:name="Tc_0W7svj__P0SqGKGA70ZTwA_5_10"/>
      <w:bookmarkStart w:id="911" w:name="Tc_3SMLcza17ESdo1VdunzoiA_5_8"/>
      <w:bookmarkStart w:id="912" w:name="Tc_yUQZyqWguEm2KAwB_HohdA_5_7"/>
      <w:bookmarkStart w:id="913" w:name="Tc_i85sEcR6qUmNUYgiCqgV0w_5_4"/>
      <w:bookmarkStart w:id="914" w:name="Tc_3V4O8NSxhEOJbnCQBnjk8g_5_0"/>
      <w:bookmarkStart w:id="915" w:name="Tc_oLnFK97vuE2dVRTsmFmV7g_4_10"/>
      <w:bookmarkStart w:id="916" w:name="Tc_osvnc3_UHU-tmkJH2buvEg_4_8"/>
      <w:bookmarkStart w:id="917" w:name="Tc_X3AiMP5bMk-Vav3UcgBCsg_4_7"/>
      <w:bookmarkStart w:id="918" w:name="Tc_y_I5bemWxUGAxmzfgpFrsg_4_4"/>
      <w:bookmarkStart w:id="919" w:name="Tc_umoiOhe1BEitVDszCREvZQ_4_2"/>
      <w:bookmarkStart w:id="920" w:name="Tc_HbsCBrcMF028cYhEOjrxKg_4_0"/>
      <w:bookmarkStart w:id="921" w:name="Tc_qTwooYdjUEaZK2IPbf_4LQ_3_10"/>
      <w:bookmarkStart w:id="922" w:name="Tc_n4RqkJossUaCl90QEKvJCQ_3_7"/>
      <w:bookmarkStart w:id="923" w:name="Tc_oHxlk3iL_ES0EBdP6sXd5g_3_4"/>
      <w:bookmarkStart w:id="924" w:name="Tc_OtK2nuYzFEqSMZyNbR23gA_3_2"/>
      <w:bookmarkStart w:id="925" w:name="Tc_a4NsVCII-USfM82k7I34mQ_2_2"/>
      <w:bookmarkStart w:id="926" w:name="_c2c3f98e_7d5f_4a4f_a309_f5f3975275c1"/>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b/>
          <w:sz w:val="20"/>
        </w:rPr>
        <w:t xml:space="preserve">Note 6 </w:t>
      </w:r>
      <w:r>
        <w:rPr>
          <w:rFonts w:ascii="Times New Roman;Times;serif" w:hAnsi="Times New Roman;Times;serif"/>
          <w:b/>
          <w:sz w:val="20"/>
          <w:shd w:fill="FFFFFF" w:val="clear"/>
        </w:rPr>
        <w:t>-</w:t>
      </w:r>
      <w:r>
        <w:rPr>
          <w:rFonts w:ascii="Times New Roman;Times;serif" w:hAnsi="Times New Roman;Times;serif"/>
          <w:b/>
          <w:sz w:val="20"/>
        </w:rPr>
        <w:t xml:space="preserve"> Goodwill and Intangible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intangible assets, net as of June 30, 2026 and December 31, 2025 consists of the following (in thousands):</w:t>
      </w:r>
    </w:p>
    <w:p>
      <w:pPr>
        <w:pStyle w:val="TextBody"/>
        <w:bidi w:val="0"/>
        <w:spacing w:before="0" w:after="0"/>
        <w:ind w:left="0" w:right="0" w:firstLine="360"/>
        <w:jc w:val="both"/>
        <w:rPr/>
      </w:pPr>
      <w:r>
        <w:rPr/>
        <w:t>​</w:t>
      </w:r>
    </w:p>
    <w:tbl>
      <w:tblPr>
        <w:tblW w:w="9231" w:type="dxa"/>
        <w:jc w:val="left"/>
        <w:tblInd w:w="0" w:type="dxa"/>
        <w:tblLayout w:type="fixed"/>
        <w:tblCellMar>
          <w:top w:w="0" w:type="dxa"/>
          <w:left w:w="0" w:type="dxa"/>
          <w:bottom w:w="0" w:type="dxa"/>
          <w:right w:w="0" w:type="dxa"/>
        </w:tblCellMar>
      </w:tblPr>
      <w:tblGrid>
        <w:gridCol w:w="706"/>
        <w:gridCol w:w="346"/>
        <w:gridCol w:w="1441"/>
        <w:gridCol w:w="346"/>
        <w:gridCol w:w="506"/>
        <w:gridCol w:w="1369"/>
        <w:gridCol w:w="346"/>
        <w:gridCol w:w="783"/>
        <w:gridCol w:w="1287"/>
        <w:gridCol w:w="346"/>
        <w:gridCol w:w="417"/>
        <w:gridCol w:w="133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48310" cy="175260"/>
                      <wp:effectExtent l="0" t="0" r="0" b="0"/>
                      <wp:wrapNone/>
                      <wp:docPr id="98" name="Frame9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15035" cy="175260"/>
                      <wp:effectExtent l="0" t="0" r="0" b="0"/>
                      <wp:wrapNone/>
                      <wp:docPr id="100" name="Frame10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1310" cy="175260"/>
                      <wp:effectExtent l="0" t="0" r="0" b="0"/>
                      <wp:wrapNone/>
                      <wp:docPr id="102" name="Frame102"/>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69315" cy="175260"/>
                      <wp:effectExtent l="0" t="0" r="0" b="0"/>
                      <wp:wrapNone/>
                      <wp:docPr id="103" name="Frame103"/>
                      <a:graphic xmlns:a="http://schemas.openxmlformats.org/drawingml/2006/main">
                        <a:graphicData uri="http://schemas.microsoft.com/office/word/2010/wordprocessingShape">
                          <wps:wsp>
                            <wps:cNvSpPr txBox="1"/>
                            <wps:spPr>
                              <a:xfrm>
                                <a:off x="0" y="0"/>
                                <a:ext cx="869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7205" cy="175260"/>
                      <wp:effectExtent l="0" t="0" r="0" b="0"/>
                      <wp:wrapNone/>
                      <wp:docPr id="105" name="Frame10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17245" cy="175260"/>
                      <wp:effectExtent l="0" t="0" r="0" b="0"/>
                      <wp:wrapNone/>
                      <wp:docPr id="106" name="Frame106"/>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64795" cy="175260"/>
                      <wp:effectExtent l="0" t="0" r="0" b="0"/>
                      <wp:wrapNone/>
                      <wp:docPr id="108" name="Frame10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849630" cy="175260"/>
                      <wp:effectExtent l="0" t="0" r="0" b="0"/>
                      <wp:wrapNone/>
                      <wp:docPr id="109" name="Frame109"/>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9" w:type="dxa"/>
            <w:gridSpan w:val="10"/>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46" w:type="dxa"/>
            <w:tcBorders/>
            <w:vAlign w:val="center"/>
          </w:tcPr>
          <w:p>
            <w:pPr>
              <w:pStyle w:val="TableContents"/>
              <w:bidi w:val="0"/>
              <w:spacing w:before="0" w:after="0"/>
              <w:ind w:left="0" w:right="0" w:hanging="0"/>
              <w:jc w:val="left"/>
              <w:rPr/>
            </w:pPr>
            <w:r>
              <w:rPr/>
              <w:t>  ​ ​ ​</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46" w:type="dxa"/>
            <w:tcBorders/>
            <w:vAlign w:val="center"/>
          </w:tcPr>
          <w:p>
            <w:pPr>
              <w:pStyle w:val="TableContents"/>
              <w:bidi w:val="0"/>
              <w:spacing w:before="0" w:after="0"/>
              <w:ind w:left="0" w:right="0" w:hanging="0"/>
              <w:jc w:val="left"/>
              <w:rPr/>
            </w:pPr>
            <w:r>
              <w:rPr/>
              <w:t>  ​ ​ ​</w:t>
            </w:r>
          </w:p>
        </w:tc>
        <w:tc>
          <w:tcPr>
            <w:tcW w:w="2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46" w:type="dxa"/>
            <w:tcBorders/>
            <w:vAlign w:val="center"/>
          </w:tcPr>
          <w:p>
            <w:pPr>
              <w:pStyle w:val="TableContents"/>
              <w:bidi w:val="0"/>
              <w:spacing w:before="0" w:after="0"/>
              <w:ind w:left="0" w:right="0" w:hanging="0"/>
              <w:jc w:val="left"/>
              <w:rPr/>
            </w:pPr>
            <w:r>
              <w:rPr/>
              <w:t>  ​ ​ ​</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46" w:type="dxa"/>
            <w:tcBorders/>
            <w:shd w:fill="CCEEFF" w:val="cle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shd w:fill="CCEEFF" w:val="cle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both"/>
        <w:rPr/>
      </w:pPr>
      <w:r>
        <w:rPr/>
        <w:t>​</w:t>
      </w:r>
    </w:p>
    <w:tbl>
      <w:tblPr>
        <w:tblW w:w="9231" w:type="dxa"/>
        <w:jc w:val="left"/>
        <w:tblInd w:w="0" w:type="dxa"/>
        <w:tblLayout w:type="fixed"/>
        <w:tblCellMar>
          <w:top w:w="0" w:type="dxa"/>
          <w:left w:w="0" w:type="dxa"/>
          <w:bottom w:w="0" w:type="dxa"/>
          <w:right w:w="0" w:type="dxa"/>
        </w:tblCellMar>
      </w:tblPr>
      <w:tblGrid>
        <w:gridCol w:w="706"/>
        <w:gridCol w:w="346"/>
        <w:gridCol w:w="1441"/>
        <w:gridCol w:w="346"/>
        <w:gridCol w:w="506"/>
        <w:gridCol w:w="1369"/>
        <w:gridCol w:w="346"/>
        <w:gridCol w:w="783"/>
        <w:gridCol w:w="1287"/>
        <w:gridCol w:w="346"/>
        <w:gridCol w:w="417"/>
        <w:gridCol w:w="133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48310" cy="175260"/>
                      <wp:effectExtent l="0" t="0" r="0" b="0"/>
                      <wp:wrapNone/>
                      <wp:docPr id="110" name="Frame11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15035" cy="175260"/>
                      <wp:effectExtent l="0" t="0" r="0" b="0"/>
                      <wp:wrapNone/>
                      <wp:docPr id="112" name="Frame11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21310" cy="175260"/>
                      <wp:effectExtent l="0" t="0" r="0" b="0"/>
                      <wp:wrapNone/>
                      <wp:docPr id="114" name="Frame114"/>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69315" cy="175260"/>
                      <wp:effectExtent l="0" t="0" r="0" b="0"/>
                      <wp:wrapNone/>
                      <wp:docPr id="115" name="Frame115"/>
                      <a:graphic xmlns:a="http://schemas.openxmlformats.org/drawingml/2006/main">
                        <a:graphicData uri="http://schemas.microsoft.com/office/word/2010/wordprocessingShape">
                          <wps:wsp>
                            <wps:cNvSpPr txBox="1"/>
                            <wps:spPr>
                              <a:xfrm>
                                <a:off x="0" y="0"/>
                                <a:ext cx="869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7205" cy="175260"/>
                      <wp:effectExtent l="0" t="0" r="0" b="0"/>
                      <wp:wrapNone/>
                      <wp:docPr id="117" name="Frame11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17245" cy="175260"/>
                      <wp:effectExtent l="0" t="0" r="0" b="0"/>
                      <wp:wrapNone/>
                      <wp:docPr id="118" name="Frame118"/>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64795" cy="175260"/>
                      <wp:effectExtent l="0" t="0" r="0" b="0"/>
                      <wp:wrapNone/>
                      <wp:docPr id="120" name="Frame120"/>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49630" cy="175260"/>
                      <wp:effectExtent l="0" t="0" r="0" b="0"/>
                      <wp:wrapNone/>
                      <wp:docPr id="121" name="Frame121"/>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left"/>
              <w:rPr/>
            </w:pPr>
            <w:r>
              <w:rPr/>
              <w:t>​</w:t>
            </w:r>
          </w:p>
        </w:tc>
        <w:tc>
          <w:tcPr>
            <w:tcW w:w="13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46" w:type="dxa"/>
            <w:tcBorders/>
            <w:vAlign w:val="center"/>
          </w:tcPr>
          <w:p>
            <w:pPr>
              <w:pStyle w:val="TableContents"/>
              <w:bidi w:val="0"/>
              <w:spacing w:before="0" w:after="0"/>
              <w:ind w:left="0" w:right="0" w:hanging="0"/>
              <w:jc w:val="left"/>
              <w:rPr/>
            </w:pPr>
            <w:r>
              <w:rPr/>
              <w:t>  ​ ​ ​</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46" w:type="dxa"/>
            <w:tcBorders/>
            <w:vAlign w:val="center"/>
          </w:tcPr>
          <w:p>
            <w:pPr>
              <w:pStyle w:val="TableContents"/>
              <w:bidi w:val="0"/>
              <w:spacing w:before="0" w:after="0"/>
              <w:ind w:left="0" w:right="0" w:hanging="0"/>
              <w:jc w:val="left"/>
              <w:rPr/>
            </w:pPr>
            <w:r>
              <w:rPr/>
              <w:t>  ​ ​ ​</w:t>
            </w:r>
          </w:p>
        </w:tc>
        <w:tc>
          <w:tcPr>
            <w:tcW w:w="2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46" w:type="dxa"/>
            <w:tcBorders/>
            <w:vAlign w:val="center"/>
          </w:tcPr>
          <w:p>
            <w:pPr>
              <w:pStyle w:val="TableContents"/>
              <w:bidi w:val="0"/>
              <w:spacing w:before="0" w:after="0"/>
              <w:ind w:left="0" w:right="0" w:hanging="0"/>
              <w:jc w:val="left"/>
              <w:rPr/>
            </w:pPr>
            <w:r>
              <w:rPr/>
              <w:t>  ​ ​ ​</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46" w:type="dxa"/>
            <w:tcBorders/>
            <w:shd w:fill="CCEEFF" w:val="cle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shd w:fill="CCEEFF" w:val="cle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46" w:type="dxa"/>
            <w:tcBorders/>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Based on the Company’s qualitative analysis, no intangible assets impairment charges were recorded for the three and six months ended June 30, 2026.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year ended December 31, 2025.</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the changes in goodwill (in thousands):</w:t>
      </w:r>
    </w:p>
    <w:tbl>
      <w:tblPr>
        <w:tblW w:w="5467" w:type="dxa"/>
        <w:jc w:val="left"/>
        <w:tblInd w:w="0" w:type="dxa"/>
        <w:tblLayout w:type="fixed"/>
        <w:tblCellMar>
          <w:top w:w="0" w:type="dxa"/>
          <w:left w:w="0" w:type="dxa"/>
          <w:bottom w:w="0" w:type="dxa"/>
          <w:right w:w="0" w:type="dxa"/>
        </w:tblCellMar>
      </w:tblPr>
      <w:tblGrid>
        <w:gridCol w:w="886"/>
        <w:gridCol w:w="335"/>
        <w:gridCol w:w="1075"/>
        <w:gridCol w:w="346"/>
        <w:gridCol w:w="364"/>
        <w:gridCol w:w="597"/>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2610" cy="175260"/>
                      <wp:effectExtent l="0" t="0" r="0" b="0"/>
                      <wp:wrapNone/>
                      <wp:docPr id="122" name="Frame1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2725" cy="175260"/>
                      <wp:effectExtent l="0" t="0" r="0" b="0"/>
                      <wp:wrapNone/>
                      <wp:docPr id="123" name="Frame12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82625" cy="175260"/>
                      <wp:effectExtent l="0" t="0" r="0" b="0"/>
                      <wp:wrapNone/>
                      <wp:docPr id="124" name="Frame124"/>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1140" cy="175260"/>
                      <wp:effectExtent l="0" t="0" r="0" b="0"/>
                      <wp:wrapNone/>
                      <wp:docPr id="126" name="Frame12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9095" cy="175260"/>
                      <wp:effectExtent l="0" t="0" r="0" b="0"/>
                      <wp:wrapNone/>
                      <wp:docPr id="127" name="Frame127"/>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6855" cy="175260"/>
                      <wp:effectExtent l="0" t="0" r="0" b="0"/>
                      <wp:wrapNone/>
                      <wp:docPr id="129" name="Frame12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77570" cy="175260"/>
                      <wp:effectExtent l="0" t="0" r="0" b="0"/>
                      <wp:wrapNone/>
                      <wp:docPr id="130" name="Frame130"/>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5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pPr>
      <w:r>
        <w:rPr/>
        <w:t>​</w:t>
      </w:r>
    </w:p>
    <w:tbl>
      <w:tblPr>
        <w:tblW w:w="5467" w:type="dxa"/>
        <w:jc w:val="left"/>
        <w:tblInd w:w="0" w:type="dxa"/>
        <w:tblLayout w:type="fixed"/>
        <w:tblCellMar>
          <w:top w:w="0" w:type="dxa"/>
          <w:left w:w="0" w:type="dxa"/>
          <w:bottom w:w="0" w:type="dxa"/>
          <w:right w:w="0" w:type="dxa"/>
        </w:tblCellMar>
      </w:tblPr>
      <w:tblGrid>
        <w:gridCol w:w="886"/>
        <w:gridCol w:w="335"/>
        <w:gridCol w:w="1075"/>
        <w:gridCol w:w="346"/>
        <w:gridCol w:w="364"/>
        <w:gridCol w:w="597"/>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1" name="Frame1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725" cy="175260"/>
                      <wp:effectExtent l="0" t="0" r="0" b="0"/>
                      <wp:wrapNone/>
                      <wp:docPr id="132" name="Frame13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82625" cy="175260"/>
                      <wp:effectExtent l="0" t="0" r="0" b="0"/>
                      <wp:wrapNone/>
                      <wp:docPr id="133" name="Frame133"/>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31140" cy="175260"/>
                      <wp:effectExtent l="0" t="0" r="0" b="0"/>
                      <wp:wrapNone/>
                      <wp:docPr id="135" name="Frame13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79095" cy="175260"/>
                      <wp:effectExtent l="0" t="0" r="0" b="0"/>
                      <wp:wrapNone/>
                      <wp:docPr id="136" name="Frame136"/>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36855" cy="175260"/>
                      <wp:effectExtent l="0" t="0" r="0" b="0"/>
                      <wp:wrapNone/>
                      <wp:docPr id="138" name="Frame13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877570" cy="175260"/>
                      <wp:effectExtent l="0" t="0" r="0" b="0"/>
                      <wp:wrapNone/>
                      <wp:docPr id="139" name="Frame139"/>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5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three and six months ended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year ended December 31,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7" w:name="Tc_7duYRFkl3U6kn_y0bmRofQ_7_5"/>
      <w:bookmarkStart w:id="928" w:name="Tc_HaEgM3FtukW16QcIFQvMDw_7_2"/>
      <w:bookmarkStart w:id="929" w:name="Tc_9f62ghrxw0KSeO-HHedQZA_7_0"/>
      <w:bookmarkStart w:id="930" w:name="Tc_EgNhoCdcbkiZB8Zs1xiJvw_6_0"/>
      <w:bookmarkStart w:id="931" w:name="Tc_Fy5MowZgx0SLnlICsUt7cQ_5_0"/>
      <w:bookmarkStart w:id="932" w:name="Tc_TCzzSesLWECTJRFpwo7VBg_4_0"/>
      <w:bookmarkStart w:id="933" w:name="Tc_6BQFNnbMNEOpqqUc8fCmjQ_3_5"/>
      <w:bookmarkStart w:id="934" w:name="Tc_kzEo3uyMWUysWCvoWlsGEQ_3_2"/>
      <w:bookmarkStart w:id="935" w:name="Tc_DFEMlaocq0OhWO8QnUDcdA_3_0"/>
      <w:bookmarkStart w:id="936" w:name="Tc_ZVSOcqoFikSuAm7aZF3Kpw_2_5"/>
      <w:bookmarkStart w:id="937" w:name="Tc_-04h2Mm1P0Cgjtjku1l2qQ_2_2"/>
      <w:bookmarkStart w:id="938" w:name="Tc_J97FGzUTzkqGcjL1rDVPQA_1_5"/>
      <w:bookmarkStart w:id="939" w:name="Tc_wgOxZnQVr0GkyKJdM-EeLA_1_2"/>
      <w:bookmarkStart w:id="940" w:name="_37e11db7_c32f_4f0c_bb56_659d56ff867b"/>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sz w:val="20"/>
        </w:rPr>
        <w:t>Note 7 - Accrued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details of accrued liabilities as of June 30, 2026, and December 31, 2025 (in thousands):</w:t>
      </w:r>
    </w:p>
    <w:p>
      <w:pPr>
        <w:pStyle w:val="TextBody"/>
        <w:bidi w:val="0"/>
        <w:spacing w:before="0" w:after="0"/>
        <w:ind w:left="0" w:right="0" w:firstLine="360"/>
        <w:jc w:val="both"/>
        <w:rPr/>
      </w:pPr>
      <w:r>
        <w:rPr/>
        <w:t>​</w:t>
      </w:r>
    </w:p>
    <w:tbl>
      <w:tblPr>
        <w:tblW w:w="5808" w:type="dxa"/>
        <w:jc w:val="left"/>
        <w:tblInd w:w="0" w:type="dxa"/>
        <w:tblLayout w:type="fixed"/>
        <w:tblCellMar>
          <w:top w:w="0" w:type="dxa"/>
          <w:left w:w="0" w:type="dxa"/>
          <w:bottom w:w="0" w:type="dxa"/>
          <w:right w:w="0" w:type="dxa"/>
        </w:tblCellMar>
      </w:tblPr>
      <w:tblGrid>
        <w:gridCol w:w="3091"/>
        <w:gridCol w:w="346"/>
        <w:gridCol w:w="214"/>
        <w:gridCol w:w="581"/>
        <w:gridCol w:w="346"/>
        <w:gridCol w:w="292"/>
        <w:gridCol w:w="938"/>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62785" cy="175260"/>
                      <wp:effectExtent l="0" t="0" r="0" b="0"/>
                      <wp:wrapNone/>
                      <wp:docPr id="140" name="Frame14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5890" cy="175260"/>
                      <wp:effectExtent l="0" t="0" r="0" b="0"/>
                      <wp:wrapNone/>
                      <wp:docPr id="142" name="Frame14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8935" cy="175260"/>
                      <wp:effectExtent l="0" t="0" r="0" b="0"/>
                      <wp:wrapNone/>
                      <wp:docPr id="143" name="Frame143"/>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5420" cy="175260"/>
                      <wp:effectExtent l="0" t="0" r="0" b="0"/>
                      <wp:wrapNone/>
                      <wp:docPr id="145" name="Frame14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5630" cy="175260"/>
                      <wp:effectExtent l="0" t="0" r="0" b="0"/>
                      <wp:wrapNone/>
                      <wp:docPr id="146" name="Frame146"/>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deferred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6,996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941" w:name="Tc_PCOIgc92eUyX9T2N_mPqRQ_3_5"/>
      <w:bookmarkStart w:id="942" w:name="Tc_tZh5_UlaM0Gjr8hsqEyxDA_3_2"/>
      <w:bookmarkStart w:id="943" w:name="Tc_BXT7wxggeU2YOz3VyWrAvg_3_0"/>
      <w:bookmarkStart w:id="944" w:name="Tc_6nUJbzJwzUG6beLWNyN2BA_2_5"/>
      <w:bookmarkStart w:id="945" w:name="Tc_qR9u5uDZHk-E_FCLepIyTw_2_2"/>
      <w:bookmarkStart w:id="946" w:name="Tc_m0N0tfxIhUmgAjBtrozwLA_2_0"/>
      <w:bookmarkStart w:id="947" w:name="Tc_ASb7MIn6jkC4tA7pAQG1sw_1_5"/>
      <w:bookmarkStart w:id="948" w:name="Tc_yL3E07QDCUShNPUy44YVxQ_1_2"/>
      <w:bookmarkStart w:id="949" w:name="_fc71b412_fe34_485d_a8ed_8ad36177e304"/>
      <w:bookmarkEnd w:id="941"/>
      <w:bookmarkEnd w:id="942"/>
      <w:bookmarkEnd w:id="943"/>
      <w:bookmarkEnd w:id="944"/>
      <w:bookmarkEnd w:id="945"/>
      <w:bookmarkEnd w:id="946"/>
      <w:bookmarkEnd w:id="947"/>
      <w:bookmarkEnd w:id="948"/>
      <w:bookmarkEnd w:id="949"/>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8 -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Outstanding debt as of June 30, 2026, and December 31, 2025, consists of the following (in thousands):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7691" w:type="dxa"/>
        <w:jc w:val="left"/>
        <w:tblInd w:w="0" w:type="dxa"/>
        <w:tblLayout w:type="fixed"/>
        <w:tblCellMar>
          <w:top w:w="0" w:type="dxa"/>
          <w:left w:w="0" w:type="dxa"/>
          <w:bottom w:w="0" w:type="dxa"/>
          <w:right w:w="0" w:type="dxa"/>
        </w:tblCellMar>
      </w:tblPr>
      <w:tblGrid>
        <w:gridCol w:w="4726"/>
        <w:gridCol w:w="109"/>
        <w:gridCol w:w="274"/>
        <w:gridCol w:w="882"/>
        <w:gridCol w:w="109"/>
        <w:gridCol w:w="338"/>
        <w:gridCol w:w="1253"/>
      </w:tblGrid>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3990" cy="175260"/>
                      <wp:effectExtent l="0" t="0" r="0" b="0"/>
                      <wp:wrapNone/>
                      <wp:docPr id="147" name="Frame14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0070" cy="175260"/>
                      <wp:effectExtent l="0" t="0" r="0" b="0"/>
                      <wp:wrapNone/>
                      <wp:docPr id="148" name="Frame148"/>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4630" cy="175260"/>
                      <wp:effectExtent l="0" t="0" r="0" b="0"/>
                      <wp:wrapNone/>
                      <wp:docPr id="150" name="Frame15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95655" cy="175260"/>
                      <wp:effectExtent l="0" t="0" r="0" b="0"/>
                      <wp:wrapNone/>
                      <wp:docPr id="151" name="Frame151"/>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w:t>
            </w:r>
          </w:p>
        </w:tc>
        <w:tc>
          <w:tcPr>
            <w:tcW w:w="109"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21,040</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w:t>
            </w:r>
          </w:p>
        </w:tc>
        <w:tc>
          <w:tcPr>
            <w:tcW w:w="109"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21,040</w:t>
            </w:r>
          </w:p>
        </w:tc>
      </w:tr>
    </w:tbl>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$20.0 million Convertible Securities Notes are convertible into shares of the Company’s common stock at a conversion price of $10.00 per share, subject to adjustment per the terms of the agreement. In the event of default, the Company may irrevocably elect to permit the holder to effect alternate conversion, for which the conversion calculation and price are specified in the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1,500,000 Convert Warrants, each of which is exercisable on a cashless basis, or for one share of the Company’s common stock at $24.00 per share, subject to adjustment. The Convertible Securities Notes have a maturity of three years and nine months after the Closing and interest will be payable in cash or compounded as additional principal outstanding, which accrues on a quarterly basis. At the Company’s option, payment of interest can either be (i) made quarterly in cash, or (ii) compounded and become additional principal of the Convertible Securities Notes. As of June 30, 2026, the Company does not anticipate making a cash interest payment within the next 12 months.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conversion of the convertible notes issued in February 2024 (the “February 2024 Convertible Notes”) was carried out on the same terms as the other Convert Investors executing the Convertible Security Subscription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the Company recognized interest expense of $0.8 million and $1.6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2025, the Company recognized interest expense of $0.7 million and $1.4 million, respectively.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0" w:name="_30db4c74_e35f_4381_bc6f_9ba0ac6f7402"/>
      <w:bookmarkEnd w:id="950"/>
      <w:r>
        <w:rPr>
          <w:rFonts w:ascii="Times New Roman;Times;serif" w:hAnsi="Times New Roman;Times;serif"/>
          <w:b/>
          <w:sz w:val="20"/>
        </w:rPr>
        <w:t>Note 9 - Warrants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described in </w:t>
      </w:r>
      <w:r>
        <w:rPr>
          <w:rFonts w:ascii="Times New Roman;Times;serif" w:hAnsi="Times New Roman;Times;serif"/>
          <w:i/>
          <w:sz w:val="20"/>
        </w:rPr>
        <w:t xml:space="preserve">Note 3 - Fair Value Measurements </w:t>
      </w:r>
      <w:r>
        <w:rPr>
          <w:rFonts w:ascii="Times New Roman;Times;serif" w:hAnsi="Times New Roman;Times;serif"/>
          <w:sz w:val="20"/>
        </w:rPr>
        <w:t xml:space="preserve">and </w:t>
      </w:r>
      <w:r>
        <w:rPr>
          <w:rFonts w:ascii="Times New Roman;Times;serif" w:hAnsi="Times New Roman;Times;serif"/>
          <w:i/>
          <w:sz w:val="20"/>
        </w:rPr>
        <w:t>Note 8 - Debt</w:t>
      </w:r>
      <w:r>
        <w:rPr>
          <w:rFonts w:ascii="Times New Roman;Times;serif" w:hAnsi="Times New Roman;Times;serif"/>
          <w:sz w:val="20"/>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of the issuance date. In accordance with ASC 815, the Convert Warrants are classified as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3 - Fair Value Measurements</w:t>
      </w:r>
      <w:r>
        <w:rPr>
          <w:rFonts w:ascii="Times New Roman;Times;serif" w:hAnsi="Times New Roman;Times;serif"/>
          <w:sz w:val="20"/>
        </w:rPr>
        <w:t xml:space="preserve"> and </w:t>
      </w:r>
      <w:r>
        <w:rPr>
          <w:rFonts w:ascii="Times New Roman;Times;serif" w:hAnsi="Times New Roman;Times;serif"/>
          <w:i/>
          <w:sz w:val="20"/>
        </w:rPr>
        <w:t>Note 8 - Debt</w:t>
      </w:r>
      <w:r>
        <w:rPr>
          <w:rFonts w:ascii="Times New Roman;Times;serif" w:hAnsi="Times New Roman;Times;serif"/>
          <w:sz w:val="20"/>
        </w:rPr>
        <w:t xml:space="preserve"> for additional information related to the Convert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Base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committed financing valued at $64.5 million (the “2024 PIPE Financing”).</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2024 PIPE Financing included:</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Commitments by certain Other PIPE Investors to purchase $2.5</w:t>
            </w:r>
            <w:r>
              <w:rPr>
                <w:caps w:val="false"/>
                <w:smallCaps w:val="false"/>
              </w:rPr>
              <w:t xml:space="preserve"> </w:t>
            </w:r>
            <w:r>
              <w:rPr>
                <w:rFonts w:ascii="Times New Roman;Times;serif" w:hAnsi="Times New Roman;Times;serif"/>
                <w:b w:val="false"/>
                <w:i w:val="false"/>
                <w:caps w:val="false"/>
                <w:smallCaps w:val="false"/>
                <w:sz w:val="20"/>
              </w:rPr>
              <w:t>million of Class A ordinary shares of ARYA in the open market and not to redeem such shares before the Closing, resulting in the issuance of 355,457</w:t>
            </w:r>
            <w:r>
              <w:rPr>
                <w:caps w:val="false"/>
                <w:smallCaps w:val="false"/>
              </w:rPr>
              <w:t xml:space="preserve"> </w:t>
            </w:r>
            <w:r>
              <w:rPr>
                <w:rFonts w:ascii="Times New Roman;Times;serif" w:hAnsi="Times New Roman;Times;serif"/>
                <w:b w:val="false"/>
                <w:i w:val="false"/>
                <w:caps w:val="false"/>
                <w:smallCaps w:val="false"/>
                <w:sz w:val="20"/>
              </w:rPr>
              <w:t>shares of the Company’s common stock and 299,902</w:t>
            </w:r>
            <w:r>
              <w:rPr>
                <w:caps w:val="false"/>
                <w:smallCaps w:val="false"/>
              </w:rPr>
              <w:t xml:space="preserve"> </w:t>
            </w:r>
            <w:r>
              <w:rPr>
                <w:rFonts w:ascii="Times New Roman;Times;serif" w:hAnsi="Times New Roman;Times;serif"/>
                <w:b w:val="false"/>
                <w:i w:val="false"/>
                <w:caps w:val="false"/>
                <w:smallCaps w:val="false"/>
                <w:sz w:val="20"/>
              </w:rPr>
              <w:t>warrants exercisable for shares of the Company’s common stock (the “Base Warrants”).</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34"/>
        <w:gridCol w:w="9747"/>
      </w:tblGrid>
      <w:tr>
        <w:trPr/>
        <w:tc>
          <w:tcPr>
            <w:tcW w:w="1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(ii) </w:t>
            </w:r>
          </w:p>
        </w:tc>
        <w:tc>
          <w:tcPr>
            <w:tcW w:w="97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Commitments by certain Other PIPE Investors that were shareholders of ARYA not to redeem 247,700 Class A ordinary shares of ARYA, resulting in the issuance of 405,772 shares of the Company’s common stock and 343,756 Base Warrants.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88"/>
        <w:gridCol w:w="9693"/>
      </w:tblGrid>
      <w:tr>
        <w:trPr/>
        <w:tc>
          <w:tcPr>
            <w:tcW w:w="12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(iii) </w:t>
            </w:r>
          </w:p>
        </w:tc>
        <w:tc>
          <w:tcPr>
            <w:tcW w:w="96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Agreements by certain Other PIPE Investors to purchase 1,036,666 shares of the Company’s common stock, 1,440,000 Base Warrants and 670,000 pre-funded warrants (the “2024 PIPE Pre-Funded Warrants”) for an aggregate cash investment of $12.0 million in the Company.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43"/>
        <w:gridCol w:w="9738"/>
      </w:tblGrid>
      <w:tr>
        <w:trPr/>
        <w:tc>
          <w:tcPr>
            <w:tcW w:w="12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7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Contribution by the Perceptive PIPE Investor of an aggregate of $29.5 million in April 2023 Convertible Notes, November 2023 Convertible Notes, May 2024 Convertible Notes, June 2024 Convertible Notes and July 2024 Convertible Notes (collectively, the “Bridge Financing Notes”), together with $1.7 million of accrued interest. A total of 4,372,607 shares of the Company’s common stock and 3,540,000 Base Warrants were issued to settle the Bridge Financing Notes and the related accrued and unpaid interest.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38"/>
        <w:gridCol w:w="9743"/>
      </w:tblGrid>
      <w:tr>
        <w:trPr/>
        <w:tc>
          <w:tcPr>
            <w:tcW w:w="1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(v) </w:t>
            </w:r>
          </w:p>
        </w:tc>
        <w:tc>
          <w:tcPr>
            <w:tcW w:w="97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additional cash investment of $15.9 million by the Perceptive PIPE Investor in exchange for 2,250,352 shares of the Company’s common stock and 1,905,069 Base Warrants.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Company issued 3,540,000 Base Warrants along with 4,372,607 shares of the Company’s common stock to settle the outstanding principal and accrued interest of the Bridge Financing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issued 3,345,069 Base Warrants along with 3,287,018 shares of the Company’s common stock and 670,000 2024 PIPE Pre-Funded Warrants to the PIPE Investors in exchange for cash proceeds received in the 2024 PIPE Financing.</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issued 643,658 Base Warrants along with 761,229 shares of the Company’s common stock in exchange for the non-redeemable 468,941 Class A ordinary shares of ARYA held by certain Other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may be exercised for shares of the Company’s common stock at any time from the issuance date through the expiration date, which is the fifth anniversary of the issuance date. The Base Warrants may be exercised on a gross or net basis at an exercise price of $10.00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Base Warrants had an issuance-date fair value of $2.41 per warrant based on assumptions that included (i) a value of the Company’s common stock of $6.64 per share; (ii) a risk-free interest rate of 3.93%; (iii) a dividend yield of zero; (iv) common stock volatility of 84.0% and a volatility haircut of 10%; and (v) a remaining term of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ASC 815-40, the Company determined that the Base Warrants associated with the 2024 PIPE Financing are indexed to the Company’s common stock and qualify for equity classification. Accordingly, the Base Warrants are accounted for as equity and were initially measured at fair value. The Base Warrants meet the ASC 815-40 indexation and settlement guidance because (i) the Base Warrants may be exercised at any time during the exercise period without contingencies and (ii) the Base Warrants may be settled in a fixed number of shares upon exercise, with any adjustments, such as antidilution and alternative issuance adjustments, consistent with ASC 815, and do not preclude equity classification. Additionally, the Company has sufficient authorized shares available to settle the Base Warrants, and all applicable adjustments are within the control of the Company, further supporting equity classification.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there were 7,528,727 Base Warrants outstanding.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2025 PIPE Milestone and Pre-Funded Warrants</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14, 2025, the Company entered into a Securities Purchase Agreement (the “Securities Purchase Agreement”) with certain accredited healthcare investors (the “Purchasers”), pursuant to which the Company issued and sold to the Purchasers in the Private Placement (the “2025 PIPE Financing”): (i) an aggregate of  9,792,506 shares (the “Shares”) of its common stock, par value $0.0001 per share (the “Common Stock”), or pre-funded warrants to purchase shares of Common Stock in lieu thereof (the “2025 PIPE Pre-Funded Warrants”);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 (c) Tranche C Warrants to purchase an aggregate of 6,012,943 shares of Common Stock (or pre-funded warrants in lieu thereof) (the “Tranche C Warrants” and, together with the Tranche A Warrants and Tranche B Warrants, the “Milestone Warrants”), for aggregate gross proceeds of approximately $19.0 million (excluding up to approximately $31.0 million of additional aggregate gross proceeds that may be received in the future upon the cash exercise in full of the Milestone Warrants), before deducting placement agent fees and other expenses payable by the Company. Each Share, or 2025 PIPE Pre-Funded Warrant in lieu thereof, sold pursuant to the Securities Purchase Agreement was accompanied by one Tranche A Warrant, one Tranche B Warrant and one Tranche C Warrant. The combined purchase price of each Share and accompanying Milestone Warrants was $1.9403 (which included $0.2303 for the Milestone Warrants sold with each Share in accordance with the rules and regulations of The Nasdaq Stock Market LLC). The combined purchase price of each 2025 PIPE Pre-Funded Warrant and accompanying Milestone Warrants was $1.9402 (equal to the combined purchase price per Share and accompanying Milestone Warrants, less $0.0001).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Each Milestone Warrant is exercisable for one share of Common Stock at an exercise price of $1.71 per share. The Tranche A Warrants expired unexercised in May 2026. The Tranche B and Tranche C Warrants will expire upon the earlier of (i) five years from the date of issuance or (ii) (a) for the Tranche B Warrants, the date that is </w:t>
      </w:r>
      <w:r>
        <w:rPr>
          <w:rFonts w:ascii="Times New Roman;Times;serif" w:hAnsi="Times New Roman;Times;serif"/>
          <w:b w:val="false"/>
          <w:i w:val="false"/>
          <w:caps w:val="false"/>
          <w:smallCaps w:val="false"/>
          <w:sz w:val="20"/>
        </w:rPr>
        <w:t>thirty</w:t>
      </w:r>
      <w:r>
        <w:rPr>
          <w:rFonts w:ascii="Times New Roman;Times;serif" w:hAnsi="Times New Roman;Times;serif"/>
          <w:sz w:val="20"/>
        </w:rPr>
        <w:t xml:space="preserve"> (30) days following its announcement of FDA approval of the vCLAS Cryoablation System, and (b) for the Tranche C Warrants, the date that is </w:t>
      </w:r>
      <w:r>
        <w:rPr>
          <w:rFonts w:ascii="Times New Roman;Times;serif" w:hAnsi="Times New Roman;Times;serif"/>
          <w:b w:val="false"/>
          <w:i w:val="false"/>
          <w:caps w:val="false"/>
          <w:smallCaps w:val="false"/>
          <w:sz w:val="20"/>
        </w:rPr>
        <w:t>thirty</w:t>
      </w:r>
      <w:r>
        <w:rPr>
          <w:rFonts w:ascii="Times New Roman;Times;serif" w:hAnsi="Times New Roman;Times;serif"/>
          <w:sz w:val="20"/>
        </w:rPr>
        <w:t xml:space="preserve"> (30) days following the Company’s announcement of FDA approval of its second generation vCLAS catheter system. The 2025 PIPE Pre-Funded Warrants are exercisable for one share of Common Stock at an exercise price of $0.0001 per share. The 2025 PIPE Pre-Funded Warrants are immediately exercisable and may be exercised at any time until all of the 2025 PIPE Pre-Funded Warrants are exercised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holder of the 2025 PIPE Pre-Funded Warrants or Milestone Warrants, together with its affiliates, may not exercise any portion of such warrants to the extent that the holder would beneficially own more than 4.99% (or, at the holder’s option upon issuance, 9.99%) of the Company’s outstanding Common Stock immediately after giving effect to such exercise. The beneficial ownership limitation may be changed at the holder’s election to a lower or higher percentage not to exceed 19.99%, subject to 61 days’ prior notice to the Company and the terms of the applicable warrants. In lieu of making the cash payment otherwise contemplated to be made to the Company upon exercise of a Milestone Warrant, after the deadline for effectiveness of the registration statement to be filed pursuant to the Registration Rights Agreement dated as of October 14, 2025, by and among the Company and the other parties thereto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lieu of making the cash payment otherwise contemplated to be made to the Company upon exercise of a 2025 PIPE Pre-Funded Warrant in payment of the aggregate exercise price, the holder may elect instead to receive upon such exercise (either in whole or in part) the net number of shares of Common Stock determined pursuant to the formula set forth in the 2025 PIPE Pre-Funded Warrants.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ASC 815-40, the Company determined that the Milestone Warrants and the 2025 PIPE Pre-Funded Warrants issued in connection with the 2025 PIPE Financing are indexed to the Company’s common stock and qualify for equity classification. Accordingly, the Milestone Warrants and the 2025 PIPE Pre-Funded Warrants are accounted for as equity and were initially measured at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Milestone Warrants and the 2025 PIPE Pre-Funded Warrants meet the ASC 815-40 indexation and settlement guidance based on the following : (i) they may be exercised at any time during the exercise period without contingencies and (ii) may be settled in a fixed number of shares upon exercise, with any adjustments, such as antidilution and alternative issuance adjustments, consistent with ASC 815, and do not preclude equity classification. At issuance, the Milestone Warrants were exercisable for an aggregate of 18,038,829 shares of the Company’s common stock, and the 2025 PIPE Pre-Funded Warrants were exercisable for an aggregate of 3,994,434 shares of the Company’s common stock, representing the maximum number of shares issuable under the agreements. Additionally, the Company has sufficient authorized shares available to settle the Milestone Warrants and the 2025 PIPE Pre-Funded Warrants, and all applicable adjustments are within the control of the Company, further supporting equity classification.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1,030,822 2025 PIPE Pre-Funded Warrant shares were exercised on a cash basis for 1,030,822 shares of the Company’s common stock. The exercise price for the 2025 PIPE Pre-Funded Warrants was $0.0001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there were 2,963,612 2025 PIPE Pre-Funded Warrants outstanding.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May 2026, the Tranche A Warrants, which were exercisable for an aggregate of 6,012,943 shares of the Company’s common stock, expired unexercised.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remaining Tranche B Warrants and Tranche C Warrants were exercisable for an aggregate of 12,025,886 shares of the Company’s common stock.</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1" w:name="Tc_Jc1v5STsk0yXwV_R3UVmtw_10_2"/>
      <w:bookmarkStart w:id="952" w:name="Tc_iSlVzzj2JEObd3RWv-0sMA_10_0"/>
      <w:bookmarkStart w:id="953" w:name="Tc_Y7f9lHW7aEeBacTl2zNrwQ_9_0"/>
      <w:bookmarkStart w:id="954" w:name="Tc_MBjK5Cs-xU2RslEhxu-8Vw_8_0"/>
      <w:bookmarkStart w:id="955" w:name="Tc_hDlG6KU5qEOmzJL4c-qk0g_7_0"/>
      <w:bookmarkStart w:id="956" w:name="Tc_-2OIJEmM4US-Al1ufacDOw_6_0"/>
      <w:bookmarkStart w:id="957" w:name="Tc_Yp64GGOZVkmztym5Twxm1Q_5_0"/>
      <w:bookmarkStart w:id="958" w:name="Tc_XT9GeA_f60CQY0mVCJ7VQw_4_0"/>
      <w:bookmarkStart w:id="959" w:name="Tc_VQRJIKq8_0qILKfLXcn_Gg_3_0"/>
      <w:bookmarkStart w:id="960" w:name="Tc_nwmnhJLpwkKTnLLxEPl1IQ_2_2"/>
      <w:bookmarkStart w:id="961" w:name="Tc_mGG2bC94zkGEwvZCdAJ_UA_2_0"/>
      <w:bookmarkStart w:id="962" w:name="_1c2e835e_59bf_427a_b7e3_46b85dd8f2d0"/>
      <w:bookmarkStart w:id="963" w:name="Tc_3jhRPhHer06H6me7XBnkEg_3_11"/>
      <w:bookmarkStart w:id="964" w:name="Tc_O5CcgLI8xkyCSRVDty6B1Q_3_8"/>
      <w:bookmarkStart w:id="965" w:name="Tc_xJ5abCPx5EqY3BrPh6EYvQ_3_5"/>
      <w:bookmarkStart w:id="966" w:name="Tc_GiwoNFS9dkmZnvuMURxDiw_3_2"/>
      <w:bookmarkStart w:id="967" w:name="Tc_WxWsbbEcZ0CHYN1yrErjMQ_3_0"/>
      <w:bookmarkStart w:id="968" w:name="Tc__XYmCExxA0WFOWJLp4qCRg_2_11"/>
      <w:bookmarkStart w:id="969" w:name="Tc_U0YpeSQR3kWTgjy0zxcGZg_2_8"/>
      <w:bookmarkStart w:id="970" w:name="Tc_v_sWlBjK50adUNw-vkeWlQ_2_5"/>
      <w:bookmarkStart w:id="971" w:name="Tc_ffSWrvNr6U2wRThvIKrPUg_2_2"/>
      <w:bookmarkStart w:id="972" w:name="Tc_eXv4DLxeU0OoshoENNW-5A_2_0"/>
      <w:bookmarkStart w:id="973" w:name="Tc_ZMZLdLFMVk275OwRariJOg_1_8"/>
      <w:bookmarkStart w:id="974" w:name="Tc_DOY4IHz1Qk-i609qtJKOMQ_1_2"/>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b/>
          <w:sz w:val="20"/>
        </w:rPr>
        <w:t>Note 10 - Operating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leases distribution and research and development facilities as well as sub-leases office and manufacturing space from third parties under its operating leases. The leases have expirations ranging from January 2030 to March 2031,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Company does not have any finance or short-term leases and has not entered into leases which have not yet commenced that would entitle the Company to significant rights or create additional obligations during the periods as of June 30, 2026 and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quantitative information of the Company’s operating leases for the three and six months ended June 30, 2026 and June 30, 2025. </w:t>
      </w:r>
    </w:p>
    <w:p>
      <w:pPr>
        <w:pStyle w:val="TextBody"/>
        <w:bidi w:val="0"/>
        <w:spacing w:before="0" w:after="0"/>
        <w:ind w:left="0" w:right="0" w:firstLine="360"/>
        <w:jc w:val="both"/>
        <w:rPr/>
      </w:pPr>
      <w:r>
        <w:rPr/>
        <w:t>​</w:t>
      </w:r>
    </w:p>
    <w:tbl>
      <w:tblPr>
        <w:tblW w:w="8438" w:type="dxa"/>
        <w:jc w:val="left"/>
        <w:tblInd w:w="0" w:type="dxa"/>
        <w:tblLayout w:type="fixed"/>
        <w:tblCellMar>
          <w:top w:w="0" w:type="dxa"/>
          <w:left w:w="0" w:type="dxa"/>
          <w:bottom w:w="0" w:type="dxa"/>
          <w:right w:w="0" w:type="dxa"/>
        </w:tblCellMar>
      </w:tblPr>
      <w:tblGrid>
        <w:gridCol w:w="3841"/>
        <w:gridCol w:w="109"/>
        <w:gridCol w:w="411"/>
        <w:gridCol w:w="615"/>
        <w:gridCol w:w="212"/>
        <w:gridCol w:w="411"/>
        <w:gridCol w:w="615"/>
        <w:gridCol w:w="109"/>
        <w:gridCol w:w="302"/>
        <w:gridCol w:w="602"/>
        <w:gridCol w:w="156"/>
        <w:gridCol w:w="302"/>
        <w:gridCol w:w="753"/>
      </w:tblGrid>
      <w:tr>
        <w:trPr/>
        <w:tc>
          <w:tcPr>
            <w:tcW w:w="3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109" w:type="dxa"/>
            <w:tcBorders/>
            <w:vAlign w:val="center"/>
          </w:tcPr>
          <w:p>
            <w:pPr>
              <w:pStyle w:val="TableContents"/>
              <w:bidi w:val="0"/>
              <w:spacing w:before="0" w:after="0"/>
              <w:ind w:left="0" w:right="0" w:hanging="0"/>
              <w:jc w:val="center"/>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12" w:type="dxa"/>
            <w:tcBorders/>
            <w:vAlign w:val="center"/>
          </w:tcPr>
          <w:p>
            <w:pPr>
              <w:pStyle w:val="TableContents"/>
              <w:bidi w:val="0"/>
              <w:spacing w:before="0" w:after="0"/>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56" w:type="dxa"/>
            <w:tcBorders/>
            <w:vAlign w:val="center"/>
          </w:tcPr>
          <w:p>
            <w:pPr>
              <w:pStyle w:val="TableContents"/>
              <w:bidi w:val="0"/>
              <w:spacing w:before="0" w:after="0"/>
              <w:ind w:left="0" w:right="0" w:hanging="0"/>
              <w:jc w:val="left"/>
              <w:rPr/>
            </w:pPr>
            <w:r>
              <w:rPr/>
              <w:t>​</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cash flows paid for operating leases</w:t>
            </w:r>
          </w:p>
        </w:tc>
        <w:tc>
          <w:tcPr>
            <w:tcW w:w="109" w:type="dxa"/>
            <w:tcBorders/>
            <w:shd w:fill="CCEEFF" w:val="clear"/>
            <w:vAlign w:val="center"/>
          </w:tcPr>
          <w:p>
            <w:pPr>
              <w:pStyle w:val="TableContents"/>
              <w:bidi w:val="0"/>
              <w:spacing w:before="0" w:after="0"/>
              <w:ind w:left="0" w:right="0" w:hanging="0"/>
              <w:jc w:val="righ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212" w:type="dxa"/>
            <w:tcBorders/>
            <w:shd w:fill="CCEEFF" w:val="clear"/>
            <w:vAlign w:val="center"/>
          </w:tcPr>
          <w:p>
            <w:pPr>
              <w:pStyle w:val="TableContents"/>
              <w:bidi w:val="0"/>
              <w:spacing w:before="0" w:after="0"/>
              <w:ind w:left="0" w:right="0" w:hanging="0"/>
              <w:jc w:val="righ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0"/>
              <w:ind w:left="0" w:right="0" w:hanging="0"/>
              <w:jc w:val="righ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56" w:type="dxa"/>
            <w:tcBorders/>
            <w:shd w:fill="CCEEFF" w:val="clear"/>
            <w:vAlign w:val="center"/>
          </w:tcPr>
          <w:p>
            <w:pPr>
              <w:pStyle w:val="TableContents"/>
              <w:bidi w:val="0"/>
              <w:spacing w:before="0" w:after="0"/>
              <w:ind w:left="0" w:right="0" w:hanging="0"/>
              <w:jc w:val="righ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weighted average remaining lease term for the Company’s operating leases was 4.1 years, and the weighted average discount rate used to determine the present value of the Company’s operating leases was 8.0%.</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weighted average remaining lease term for the Company’s operating leases was 3.9 years, and the weighted average discount rate used to determine the present value of the Company’s operating leases was 8.0%.</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$0.1 million and $0.2 million for the three and six months ended June 30, 2026,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$0.1 million and $0.2 million for the three and six months ended June 30,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did not incur any variable lease cost for the three and six months ended June 30, 2026 and June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future minimum payments under the non-cancelable operating leases as of June 30, 2026 (in thousands):</w:t>
      </w:r>
    </w:p>
    <w:tbl>
      <w:tblPr>
        <w:tblW w:w="5782" w:type="dxa"/>
        <w:jc w:val="left"/>
        <w:tblInd w:w="0" w:type="dxa"/>
        <w:tblLayout w:type="fixed"/>
        <w:tblCellMar>
          <w:top w:w="0" w:type="dxa"/>
          <w:left w:w="0" w:type="dxa"/>
          <w:bottom w:w="0" w:type="dxa"/>
          <w:right w:w="0" w:type="dxa"/>
        </w:tblCellMar>
      </w:tblPr>
      <w:tblGrid>
        <w:gridCol w:w="4786"/>
        <w:gridCol w:w="109"/>
        <w:gridCol w:w="211"/>
        <w:gridCol w:w="67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039110" cy="175260"/>
                      <wp:effectExtent l="0" t="0" r="0" b="0"/>
                      <wp:wrapNone/>
                      <wp:docPr id="152" name="Frame152"/>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9260" cy="175260"/>
                      <wp:effectExtent l="0" t="0" r="0" b="0"/>
                      <wp:wrapNone/>
                      <wp:docPr id="155" name="Frame1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six months of year ending December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2031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future cash flows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5" w:name="Tc_TgKd3LKIfEG6d0GZvYms7w_11_0"/>
      <w:bookmarkStart w:id="976" w:name="Tc_qrCoB80Sx0emzLruu7ZULQ_10_0"/>
      <w:bookmarkStart w:id="977" w:name="Tc_AdARc8KtGUm1mCsRMdRc4g_9_0"/>
      <w:bookmarkStart w:id="978" w:name="Tc_3bN4XqTHY0u0s2zttGaMOQ_8_0"/>
      <w:bookmarkStart w:id="979" w:name="Tc_bNPLMoBlTEywJbsbbEv45g_7_0"/>
      <w:bookmarkStart w:id="980" w:name="Tc_hjEVfndlRUCEYhXfTzXYjA_6_0"/>
      <w:bookmarkStart w:id="981" w:name="Tc_M1d_W-sl-kmspfSPEnm3ug_5_0"/>
      <w:bookmarkStart w:id="982" w:name="Tc_a--539blJEy1u54dtSIX4g_4_0"/>
      <w:bookmarkStart w:id="983" w:name="Tc_ceknn7wNx0KANRwZqd_JAA_3_0"/>
      <w:bookmarkStart w:id="984" w:name="Tc_B1z-7Qdh2EKgUmGOwey4Ag_2_0"/>
      <w:bookmarkStart w:id="985" w:name="Tc_G98XU2-ks0a5-dpFdOAb5Q_1_4"/>
      <w:bookmarkStart w:id="986" w:name="Tc_afQ89wdGH06-brRG7wlTHA_1_2"/>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i w:val="false"/>
          <w:caps w:val="false"/>
          <w:smallCaps w:val="false"/>
          <w:sz w:val="20"/>
        </w:rPr>
        <w:t>Note 12 - Stockholders’ Equity</w:t>
      </w:r>
    </w:p>
    <w:p>
      <w:pPr>
        <w:pStyle w:val="TextBody"/>
        <w:bidi w:val="0"/>
        <w:spacing w:before="240" w:after="0"/>
        <w:ind w:left="0" w:right="0" w:hanging="0"/>
        <w:jc w:val="both"/>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the Company’s certificate of incorporation, as amended and restated, authorized the Company to issue up to 210,000,000 shares of common stock at a par value of $0.0001 per share, and 20,000,000 shares of preferred stock, par value $0.0001 per share. As of June 30, 2026, 22,210,459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including 1,147,500 Sponsor </w:t>
      </w:r>
      <w:r>
        <w:rPr>
          <w:rFonts w:ascii="Times New Roman;Times;serif" w:hAnsi="Times New Roman;Times;serif"/>
          <w:b w:val="false"/>
          <w:i w:val="false"/>
          <w:caps w:val="false"/>
          <w:smallCaps w:val="false"/>
          <w:sz w:val="20"/>
        </w:rPr>
        <w:t>Earnout</w:t>
      </w:r>
      <w:r>
        <w:rPr>
          <w:rFonts w:ascii="Times New Roman;Times;serif" w:hAnsi="Times New Roman;Times;serif"/>
          <w:sz w:val="20"/>
        </w:rPr>
        <w:t xml:space="preserve"> (as defined below).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2024, the Company issued 1,147,500 shares of the Company’s Common Stock (such issuance, the “Sponsor Earnout”) to the ARYA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trading day period from and after the Closing Date and (ii) immediately prior to the consummation of a company sale during the Earn-Out Period.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reporting date, the vesting of the Sponsor Earnout was not considered probable.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holders of the Company’s common stock are entitled to receive dividends whenever funds are legally available, when and if declared by the Company’s Board of Directors. As of June 30, 2026, no cash dividend has been declared to date. Each share of the Company’s common stock is entitled to one vote.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summarizes the Company’s reserved common stock for further issuance as of June 30, 2026 and December 31, 2025:</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315"/>
        <w:gridCol w:w="109"/>
        <w:gridCol w:w="1126"/>
        <w:gridCol w:w="109"/>
        <w:gridCol w:w="1546"/>
      </w:tblGrid>
      <w:tr>
        <w:trPr/>
        <w:tc>
          <w:tcPr>
            <w:tcW w:w="731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r>
      <w:tr>
        <w:trPr/>
        <w:tc>
          <w:tcPr>
            <w:tcW w:w="731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7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PIPE Pre-funded Warrants</w:t>
            </w:r>
          </w:p>
        </w:tc>
        <w:tc>
          <w:tcPr>
            <w:tcW w:w="109"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2,963,612</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2,963,612</w:t>
            </w:r>
          </w:p>
        </w:tc>
      </w:tr>
      <w:tr>
        <w:trPr/>
        <w:tc>
          <w:tcPr>
            <w:tcW w:w="7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109"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3,232,331</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3,232,331</w:t>
            </w:r>
          </w:p>
        </w:tc>
      </w:tr>
      <w:tr>
        <w:trPr/>
        <w:tc>
          <w:tcPr>
            <w:tcW w:w="7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PIPE Milestone Warrants</w:t>
            </w:r>
          </w:p>
        </w:tc>
        <w:tc>
          <w:tcPr>
            <w:tcW w:w="109"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12,025,886</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18,038,829</w:t>
            </w:r>
          </w:p>
        </w:tc>
      </w:tr>
      <w:tr>
        <w:trPr/>
        <w:tc>
          <w:tcPr>
            <w:tcW w:w="7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7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Company’s common stock issuable upon the exercise of outstanding options Legacy Adagio’s equity plans that were assumed in the Business Combination</w:t>
            </w:r>
          </w:p>
        </w:tc>
        <w:tc>
          <w:tcPr>
            <w:tcW w:w="109"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6,587</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7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Equity Incentive Plan</w:t>
            </w:r>
          </w:p>
        </w:tc>
        <w:tc>
          <w:tcPr>
            <w:tcW w:w="109"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9,471,488</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6,197,737</w:t>
            </w:r>
          </w:p>
        </w:tc>
      </w:tr>
      <w:tr>
        <w:trPr/>
        <w:tc>
          <w:tcPr>
            <w:tcW w:w="7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Key Employee Equity Incentive Plan</w:t>
            </w:r>
          </w:p>
        </w:tc>
        <w:tc>
          <w:tcPr>
            <w:tcW w:w="109"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r>
      <w:tr>
        <w:trPr/>
        <w:tc>
          <w:tcPr>
            <w:tcW w:w="7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Employee Stock Purchase Plan</w:t>
            </w:r>
          </w:p>
        </w:tc>
        <w:tc>
          <w:tcPr>
            <w:tcW w:w="109" w:type="dxa"/>
            <w:tcBorders/>
            <w:shd w:fill="CCEEFF" w:val="cle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r>
      <w:tr>
        <w:trPr/>
        <w:tc>
          <w:tcPr>
            <w:tcW w:w="731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Common stock reserved for future issuance</w:t>
            </w:r>
          </w:p>
        </w:tc>
        <w:tc>
          <w:tcPr>
            <w:tcW w:w="109" w:type="dxa"/>
            <w:tcBorders/>
            <w:vAlign w:val="center"/>
          </w:tcPr>
          <w:p>
            <w:pPr>
              <w:pStyle w:val="TableContents"/>
              <w:bidi w:val="0"/>
              <w:spacing w:before="0" w:after="1"/>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40,524,368</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43,264,560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987" w:name="Tc_rRsASbXT-kGgmj5LF48cyQ_5_11"/>
      <w:bookmarkStart w:id="988" w:name="Tc_ebIDrX6EkE29kgdu3qTv0A_5_8"/>
      <w:bookmarkStart w:id="989" w:name="Tc_tqdMVhjmt06z4xtMqzTeuQ_5_5"/>
      <w:bookmarkStart w:id="990" w:name="Tc_cLXCGw9Z-0Oapoy10x_EIw_5_2"/>
      <w:bookmarkStart w:id="991" w:name="Tc_NCcOOwBGe0OPkyv4ZuhuFg_5_0"/>
      <w:bookmarkStart w:id="992" w:name="Tc_nGX_peYgzUSO5dtvZaHzDg_4_0"/>
      <w:bookmarkStart w:id="993" w:name="Tc_c8NlvkHSbUe2DCvUiGq1sg_3_11"/>
      <w:bookmarkStart w:id="994" w:name="Tc__q-14IjUmka96i1X1hIXxQ_3_8"/>
      <w:bookmarkStart w:id="995" w:name="Tc_YILjl_PRuUaeg_kJShLBRg_3_5"/>
      <w:bookmarkStart w:id="996" w:name="Tc_6QslrhE1qEC_khm9K3i0sQ_3_2"/>
      <w:bookmarkStart w:id="997" w:name="Tc_RX11GMu2r0mSVzxD5gtxbQ_3_0"/>
      <w:bookmarkStart w:id="998" w:name="Tc_9TpvxJhURky5cU1ZaZE54w_2_11"/>
      <w:bookmarkStart w:id="999" w:name="Tc_QWSfnPPCAEGMztSvNGzP1A_2_8"/>
      <w:bookmarkStart w:id="1000" w:name="Tc_5JAOBSV1UkOhOK5eGF1s_g_2_5"/>
      <w:bookmarkStart w:id="1001" w:name="Tc_eFJQYj9SfEug9a85ETymxg_2_2"/>
      <w:bookmarkStart w:id="1002" w:name="Tc_ZKrBQLUvC0S9id1pQw0QXA_1_8"/>
      <w:bookmarkStart w:id="1003" w:name="Tc_Mc2xQpWaM0OT-ijxLQtw3g_1_2"/>
      <w:bookmarkStart w:id="1004" w:name="_09def66e_d581_4f1e_8bfa_85ae3ba38460"/>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sz w:val="20"/>
        </w:rPr>
        <w:t>Note 13 - Stock-Based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the total stock-based compensation expense for the stock options expense recorded in the condensed consolidated statements of operations and comprehensive loss for the three and six months ended June 30, 2026 and June 30, 2025 (in thousands): </w:t>
      </w:r>
    </w:p>
    <w:p>
      <w:pPr>
        <w:pStyle w:val="TextBody"/>
        <w:bidi w:val="0"/>
        <w:spacing w:before="0" w:after="0"/>
        <w:ind w:left="0" w:right="0" w:hanging="0"/>
        <w:jc w:val="left"/>
        <w:rPr/>
      </w:pPr>
      <w:r>
        <w:rPr/>
        <w:t>​</w:t>
      </w:r>
    </w:p>
    <w:tbl>
      <w:tblPr>
        <w:tblW w:w="8137" w:type="dxa"/>
        <w:jc w:val="left"/>
        <w:tblInd w:w="0" w:type="dxa"/>
        <w:tblLayout w:type="fixed"/>
        <w:tblCellMar>
          <w:top w:w="0" w:type="dxa"/>
          <w:left w:w="0" w:type="dxa"/>
          <w:bottom w:w="0" w:type="dxa"/>
          <w:right w:w="0" w:type="dxa"/>
        </w:tblCellMar>
      </w:tblPr>
      <w:tblGrid>
        <w:gridCol w:w="3451"/>
        <w:gridCol w:w="109"/>
        <w:gridCol w:w="355"/>
        <w:gridCol w:w="708"/>
        <w:gridCol w:w="183"/>
        <w:gridCol w:w="355"/>
        <w:gridCol w:w="708"/>
        <w:gridCol w:w="109"/>
        <w:gridCol w:w="308"/>
        <w:gridCol w:w="615"/>
        <w:gridCol w:w="159"/>
        <w:gridCol w:w="308"/>
        <w:gridCol w:w="7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1385" cy="175260"/>
                      <wp:effectExtent l="0" t="0" r="0" b="0"/>
                      <wp:wrapNone/>
                      <wp:docPr id="156" name="Frame15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5425" cy="175260"/>
                      <wp:effectExtent l="0" t="0" r="0" b="0"/>
                      <wp:wrapNone/>
                      <wp:docPr id="158" name="Frame15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49580" cy="175260"/>
                      <wp:effectExtent l="0" t="0" r="0" b="0"/>
                      <wp:wrapNone/>
                      <wp:docPr id="159" name="Frame15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6205" cy="175260"/>
                      <wp:effectExtent l="0" t="0" r="0" b="0"/>
                      <wp:wrapNone/>
                      <wp:docPr id="160" name="Frame160"/>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5425" cy="175260"/>
                      <wp:effectExtent l="0" t="0" r="0" b="0"/>
                      <wp:wrapNone/>
                      <wp:docPr id="161" name="Frame16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49580" cy="175260"/>
                      <wp:effectExtent l="0" t="0" r="0" b="0"/>
                      <wp:wrapNone/>
                      <wp:docPr id="162" name="Frame162"/>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5580" cy="175260"/>
                      <wp:effectExtent l="0" t="0" r="0" b="0"/>
                      <wp:wrapNone/>
                      <wp:docPr id="164" name="Frame16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90525" cy="175260"/>
                      <wp:effectExtent l="0" t="0" r="0" b="0"/>
                      <wp:wrapNone/>
                      <wp:docPr id="165" name="Frame16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00965" cy="175260"/>
                      <wp:effectExtent l="0" t="0" r="0" b="0"/>
                      <wp:wrapNone/>
                      <wp:docPr id="166" name="Frame166"/>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95580" cy="175260"/>
                      <wp:effectExtent l="0" t="0" r="0" b="0"/>
                      <wp:wrapNone/>
                      <wp:docPr id="167" name="Frame16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88315" cy="175260"/>
                      <wp:effectExtent l="0" t="0" r="0" b="0"/>
                      <wp:wrapNone/>
                      <wp:docPr id="168" name="Frame168"/>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83" w:type="dxa"/>
            <w:tcBorders/>
            <w:vAlign w:val="center"/>
          </w:tcPr>
          <w:p>
            <w:pPr>
              <w:pStyle w:val="TableContents"/>
              <w:bidi w:val="0"/>
              <w:spacing w:before="0" w:after="0"/>
              <w:ind w:left="0" w:right="0" w:hanging="0"/>
              <w:jc w:val="left"/>
              <w:rPr/>
            </w:pPr>
            <w:r>
              <w:rPr/>
              <w:t>​</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9" w:type="dxa"/>
            <w:tcBorders/>
            <w:vAlign w:val="center"/>
          </w:tcPr>
          <w:p>
            <w:pPr>
              <w:pStyle w:val="TableContents"/>
              <w:bidi w:val="0"/>
              <w:spacing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8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administration</w:t>
            </w:r>
          </w:p>
        </w:tc>
        <w:tc>
          <w:tcPr>
            <w:tcW w:w="109" w:type="dxa"/>
            <w:tcBorders/>
            <w:vAlign w:val="center"/>
          </w:tcPr>
          <w:p>
            <w:pPr>
              <w:pStyle w:val="TableContents"/>
              <w:bidi w:val="0"/>
              <w:spacing w:before="0" w:after="0"/>
              <w:ind w:left="0" w:right="0" w:hanging="0"/>
              <w:jc w:val="center"/>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183"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0"/>
              <w:ind w:left="0" w:right="0" w:hanging="0"/>
              <w:jc w:val="righ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15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183"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2026, the number of shares of common stock available for issuance under the 2024 Equity Incentive Plan increased by 3,273,751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granted 3,350,090 awards under this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Key Employee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granted 1,340,000 awards under this plan.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005" w:name="Tc_opvZWOpvk0uU_NOPHDFdaQ_11_10"/>
      <w:bookmarkStart w:id="1006" w:name="Tc_buOPzMwPq0CMGZgXLpdc6Q_11_9"/>
      <w:bookmarkStart w:id="1007" w:name="Tc_aRG0kOTjlUmux1uOJ3PkWA_11_4"/>
      <w:bookmarkStart w:id="1008" w:name="Tc_TKTucY3jLEmVYa61xQ0Z6w_11_0"/>
      <w:bookmarkStart w:id="1009" w:name="Tc_KAr-7JSWCE6iOGLTcsKbkw_10_10"/>
      <w:bookmarkStart w:id="1010" w:name="Tc_7Z0dYyt-fE-JWvuB7w-ZCA_10_9"/>
      <w:bookmarkStart w:id="1011" w:name="Tc_jeMVxB6uu0Ko3h2C22YaRQ_10_4"/>
      <w:bookmarkStart w:id="1012" w:name="Tc_8xImvpNlAkyAE4rYV5bduQ_10_0"/>
      <w:bookmarkStart w:id="1013" w:name="Tc_G4PNo9sL80CduTL2McQUSw_9_10"/>
      <w:bookmarkStart w:id="1014" w:name="Tc_jtBk5Vt130iiOAMog0AaGA_9_9"/>
      <w:bookmarkStart w:id="1015" w:name="Tc_SKga60LcN0W8lDGQpSn-Ng_9_4"/>
      <w:bookmarkStart w:id="1016" w:name="Tc_2mwlnjfhR0SRv5h9U6v2bw_9_0"/>
      <w:bookmarkStart w:id="1017" w:name="Tc_kkQSx0_eC0WltStqIp-IXQ_8_10"/>
      <w:bookmarkStart w:id="1018" w:name="Tc_G5LYjK-Mpkq2Z6Ae8krpjQ_8_7"/>
      <w:bookmarkStart w:id="1019" w:name="Tc_7zZlbT47IUmzauXq8LnCkg_8_0"/>
      <w:bookmarkStart w:id="1020" w:name="Tc_8MvkTj-VGUGo_CVRjxNWXg_7_10"/>
      <w:bookmarkStart w:id="1021" w:name="Tc_D5PPwFc-aEm-29OrrNGgVg_7_7"/>
      <w:bookmarkStart w:id="1022" w:name="Tc_cENeRQ5J2UevvrXBfqpMww_7_0"/>
      <w:bookmarkStart w:id="1023" w:name="Tc_JU8rCFW6sUesyND87Kjt9g_6_9"/>
      <w:bookmarkStart w:id="1024" w:name="Tc_oZ4AD15eWUa4CXGCM9W7BQ_6_7"/>
      <w:bookmarkStart w:id="1025" w:name="Tc_OlsbjZSIEkuSjTuJxnvaVg_6_4"/>
      <w:bookmarkStart w:id="1026" w:name="Tc_ZDlvvWS4B0ST4zrB-49yLg_6_0"/>
      <w:bookmarkStart w:id="1027" w:name="Tc_fzZz8CV3NEC_JUN1E69SDw_5_9"/>
      <w:bookmarkStart w:id="1028" w:name="Tc_jrwEexLMa0CoNXURfK_NIQ_5_7"/>
      <w:bookmarkStart w:id="1029" w:name="Tc_S41KGoGSgEivRcUnfTxv5Q_5_4"/>
      <w:bookmarkStart w:id="1030" w:name="Tc_v_OrlN4KSEuM384639pR4w_5_2"/>
      <w:bookmarkStart w:id="1031" w:name="Tc_5BwIKaeL5kyvIALvpCVq3g_4_9"/>
      <w:bookmarkStart w:id="1032" w:name="Tc_rUJP77-YXUmljmYLXhQnzw_4_7"/>
      <w:bookmarkStart w:id="1033" w:name="Tc_-4CoD2fp70-oMuQrozivrw_4_4"/>
      <w:bookmarkStart w:id="1034" w:name="Tc_5ZQTwgMmI0iCjmxDOj38xQ_3_9"/>
      <w:bookmarkStart w:id="1035" w:name="Tc_i9Zk-btzmEO2he4zQlml4A_3_7"/>
      <w:bookmarkStart w:id="1036" w:name="Tc_zrnS3HLeHke5MRTVjk8-1A_3_4"/>
      <w:bookmarkStart w:id="1037" w:name="Tc_ndowqhNh8kmA_DPouU0vEg_2_9"/>
      <w:bookmarkStart w:id="1038" w:name="Tc_Z4OgwCaO6EW4xuJ5fbfI_w_2_7"/>
      <w:bookmarkStart w:id="1039" w:name="Tc_mCM3nJMGE0m7N3zuG1nidA_2_4"/>
      <w:bookmarkStart w:id="1040" w:name="Tc_emPzJFaIIEKHO-keiC2Qew_1_7"/>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b/>
          <w:i/>
          <w:sz w:val="20"/>
        </w:rPr>
        <w:t>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purchase rights under this plan as of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stock option activity related to the 2024 Equity Incentive Plan and 2024 Key Employee Equity Incentive Plan during the six months ended June 30, 2026:</w:t>
      </w:r>
    </w:p>
    <w:p>
      <w:pPr>
        <w:pStyle w:val="TextBody"/>
        <w:bidi w:val="0"/>
        <w:spacing w:before="0" w:after="0"/>
        <w:ind w:left="0" w:right="0" w:hanging="0"/>
        <w:jc w:val="left"/>
        <w:rPr/>
      </w:pPr>
      <w:r>
        <w:rPr/>
        <w:t>​</w:t>
      </w:r>
    </w:p>
    <w:tbl>
      <w:tblPr>
        <w:tblW w:w="9568" w:type="dxa"/>
        <w:jc w:val="left"/>
        <w:tblInd w:w="0" w:type="dxa"/>
        <w:tblLayout w:type="fixed"/>
        <w:tblCellMar>
          <w:top w:w="0" w:type="dxa"/>
          <w:left w:w="0" w:type="dxa"/>
          <w:bottom w:w="0" w:type="dxa"/>
          <w:right w:w="0" w:type="dxa"/>
        </w:tblCellMar>
      </w:tblPr>
      <w:tblGrid>
        <w:gridCol w:w="4336"/>
        <w:gridCol w:w="346"/>
        <w:gridCol w:w="1036"/>
        <w:gridCol w:w="346"/>
        <w:gridCol w:w="350"/>
        <w:gridCol w:w="775"/>
        <w:gridCol w:w="109"/>
        <w:gridCol w:w="991"/>
        <w:gridCol w:w="109"/>
        <w:gridCol w:w="372"/>
        <w:gridCol w:w="798"/>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53360" cy="175260"/>
                      <wp:effectExtent l="0" t="0" r="0" b="0"/>
                      <wp:wrapNone/>
                      <wp:docPr id="169" name="Frame16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57860" cy="175260"/>
                      <wp:effectExtent l="0" t="0" r="0" b="0"/>
                      <wp:wrapNone/>
                      <wp:docPr id="171" name="Frame1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2250" cy="175260"/>
                      <wp:effectExtent l="0" t="0" r="0" b="0"/>
                      <wp:wrapNone/>
                      <wp:docPr id="173" name="Frame17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2125" cy="175260"/>
                      <wp:effectExtent l="0" t="0" r="0" b="0"/>
                      <wp:wrapNone/>
                      <wp:docPr id="174" name="Frame174"/>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29285" cy="175260"/>
                      <wp:effectExtent l="0" t="0" r="0" b="0"/>
                      <wp:wrapNone/>
                      <wp:docPr id="176" name="Frame17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36220" cy="175260"/>
                      <wp:effectExtent l="0" t="0" r="0" b="0"/>
                      <wp:wrapNone/>
                      <wp:docPr id="178" name="Frame17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06730" cy="175260"/>
                      <wp:effectExtent l="0" t="0" r="0" b="0"/>
                      <wp:wrapNone/>
                      <wp:docPr id="179" name="Frame179"/>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4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5,785,552</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4,690,090</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June 30, 2026</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10,472,642</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2,830,140</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and expected to vest, June 30, 2026</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10,466,055</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there was $5.7 million of unrecognized compensation cost related to unvested stock options.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discussed above, the Company has not granted any options under the 2024 Employee Stock Purchase Plan.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 Loss Per Share (“LPS”)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two-class method, undistributed earnings allocated to these participating securities are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three and six months ended June 30, 2026 and June 30, 2025, the Convertible Securities Notes were not considered participating securities and were excluded from the two-class method calculation.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Basic LPS under the two-class method includes the impact of the Company’s 2025 PIPE Pre-funded Warrants as the 2025 PIPE Pre-funded Warrants are exercisable for only $0.0001 per share (i.e., de minimis cash consideration) without an expiration date and not subject to exercise contingencies.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41" w:name="Tc_yDwg0XCP6Uu6mj4Rnew29g_10_0"/>
      <w:bookmarkStart w:id="1042" w:name="Tc_wcIJpJe5zkCfuyblE43nhg_9_3"/>
      <w:bookmarkStart w:id="1043" w:name="Tc_f4HRn4oAakOiJ1x8LW1Oog_9_0"/>
      <w:bookmarkStart w:id="1044" w:name="Tc_qRm0ic_Wh0apgcajk_ZkeA_8_3"/>
      <w:bookmarkStart w:id="1045" w:name="Tc_RCPl0nvuxkqg9gsFh5wyug_8_0"/>
      <w:bookmarkStart w:id="1046" w:name="Tc_U-AqgXKDgE-6d0khAXvAsA_7_3"/>
      <w:bookmarkStart w:id="1047" w:name="Tc_2urc7HTgAE6RLSteDwhFCg_7_0"/>
      <w:bookmarkStart w:id="1048" w:name="Tc_4YUJoqrFtUqLN_zAV1vOvQ_6_0"/>
      <w:bookmarkStart w:id="1049" w:name="Tc_mVdOqvvCkEyEbuV9OIV4FQ_5_0"/>
      <w:bookmarkStart w:id="1050" w:name="Tc_ZrFM7BSLlUKfoiT_dRKKZQ_4_0"/>
      <w:bookmarkStart w:id="1051" w:name="Tc_d7RnSIALM0OmU1SXyuOpQA_3_3"/>
      <w:bookmarkStart w:id="1052" w:name="Tc_Zn3olAOjj0yIqW9YYfGwGg_3_0"/>
      <w:bookmarkStart w:id="1053" w:name="Tc_n-0nJhqg-EuqMHCyem8dAg_2_3"/>
      <w:bookmarkStart w:id="1054" w:name="Tc_0GvIC1G3jEG8gjLrt2NaCA_2_1"/>
      <w:bookmarkStart w:id="1055" w:name="Tc_o1Q_qVoL5E6gWaSWArYoHQ_1_3"/>
      <w:bookmarkStart w:id="1056" w:name="Tc_2C9lVDEOC0ahY_ApzYmV1A_1_1"/>
      <w:bookmarkStart w:id="1057" w:name="_5311c826_a4d1_44b8_bc92_b8ffcefb36cc"/>
      <w:bookmarkStart w:id="1058" w:name="Tc_GHwHd6joNEuPJAQbOsdxLA_13_11"/>
      <w:bookmarkStart w:id="1059" w:name="Tc_PPq2HDw20U-Jg-SamyMLmw_13_8"/>
      <w:bookmarkStart w:id="1060" w:name="Tc_I5x11tbUe0K_xqFDTN4QVg_13_5"/>
      <w:bookmarkStart w:id="1061" w:name="Tc_JCRLhro9c0iWr6bsayb5Sw_13_2"/>
      <w:bookmarkStart w:id="1062" w:name="Tc_GayAPyDKmEqsNMVt2UqJbA_13_0"/>
      <w:bookmarkStart w:id="1063" w:name="Tc_O78LUiPTYEiILylPv5XF8w_11_0"/>
      <w:bookmarkStart w:id="1064" w:name="Tc_aN3IdQsMTUq8Q0PQC8tadw_10_12"/>
      <w:bookmarkStart w:id="1065" w:name="Tc_OgkjIbg9TUSoKUvKCb3RSQ_10_9"/>
      <w:bookmarkStart w:id="1066" w:name="Tc_C8rFLYO9VEOCkT7XeIv-ig_10_6"/>
      <w:bookmarkStart w:id="1067" w:name="Tc_ew0pryVIJ0ibaQK1s1H4Rw_10_3"/>
      <w:bookmarkStart w:id="1068" w:name="Tc_cO4mbnhzWkqPXcvw8vM3pA_10_0"/>
      <w:bookmarkStart w:id="1069" w:name="Tc_w7ryGLlNFEOZT78UKhlRkA_9_0"/>
      <w:bookmarkStart w:id="1070" w:name="Tc_9NHHyALWzkCuBd99LMildw_8_0"/>
      <w:bookmarkStart w:id="1071" w:name="Tc_VuexZzR69kmRYDixf8MG8Q_6_11"/>
      <w:bookmarkStart w:id="1072" w:name="Tc_xfLn4Nhmh0ma2PRgTUbXnA_6_8"/>
      <w:bookmarkStart w:id="1073" w:name="Tc_B8vh3Z9WrUuLTArM6jwlpw_6_5"/>
      <w:bookmarkStart w:id="1074" w:name="Tc_QHJgCqfr_UaIaQx6Udscvw_6_2"/>
      <w:bookmarkStart w:id="1075" w:name="Tc_Wm-U8S_N3Ui4qn3AvMJrpA_6_0"/>
      <w:bookmarkStart w:id="1076" w:name="Tc_s0sIAg--202rxvCTLSEEiQ_5_9"/>
      <w:bookmarkStart w:id="1077" w:name="Tc_z9w_bpQ10kqSRSoJUiJXPQ_5_3"/>
      <w:bookmarkStart w:id="1078" w:name="Tc_omutBBUPkk-QWk-rXVLQ3Q_5_0"/>
      <w:bookmarkStart w:id="1079" w:name="Tc_lJKdKXZHkEu7K071FWxAGg_4_11"/>
      <w:bookmarkStart w:id="1080" w:name="Tc_w_sa4FK-MES8LacoikOymQ_4_8"/>
      <w:bookmarkStart w:id="1081" w:name="Tc_TGKjg01kt0qEYJvgDjlRtg_4_5"/>
      <w:bookmarkStart w:id="1082" w:name="Tc_LX2dCDmax0aR85JfVT1HFA_4_2"/>
      <w:bookmarkStart w:id="1083" w:name="Tc_J75Es0UJzkCVL34v3A5gfQ_4_0"/>
      <w:bookmarkStart w:id="1084" w:name="Tc_fQVYQfGOnkmbjrPwq6q_Rg_3_0"/>
      <w:bookmarkStart w:id="1085" w:name="Tc__ABp1PD41ESCHVGrCN9u3w_2_11"/>
      <w:bookmarkStart w:id="1086" w:name="Tc_-i2EeFOMOkav-LrG16I6oA_2_8"/>
      <w:bookmarkStart w:id="1087" w:name="Tc_0vKnrVwTzE-uIjYlE_ltkA_2_5"/>
      <w:bookmarkStart w:id="1088" w:name="Tc_wtl1IKF5hkuxC-jWY-Kpig_2_2"/>
      <w:bookmarkStart w:id="1089" w:name="Tc_I4hJkW4lqEeLurXdqMIBXw_2_0"/>
      <w:bookmarkStart w:id="1090" w:name="Tc_N255MK3fHkGO-gWmFeCl2w_1_8"/>
      <w:bookmarkStart w:id="1091" w:name="Tc_xn8rZgRCGUuMCEy56OMrmg_1_2"/>
      <w:bookmarkStart w:id="1092" w:name="_6e3b4d98_ada9_4555_be0e_f0c1446c7578"/>
      <w:bookmarkStart w:id="1093" w:name="Tc_UpuzHOdPjUqyzuy7Yg8jEA_8_11"/>
      <w:bookmarkStart w:id="1094" w:name="Tc_ql2iXjoMu06gRX2pjFF8zg_8_8"/>
      <w:bookmarkStart w:id="1095" w:name="Tc_0CMoydZe6UKf_O8AzuzStg_8_5"/>
      <w:bookmarkStart w:id="1096" w:name="Tc_CdqhOI1gV0ujvt1gZkITJQ_8_2"/>
      <w:bookmarkStart w:id="1097" w:name="Tc__03tcbnCG0ejFoTVZev_YQ_8_0"/>
      <w:bookmarkStart w:id="1098" w:name="Tc_QBdpQXM3eUOSsdZ11U6NoA_6_0"/>
      <w:bookmarkStart w:id="1099" w:name="Tc_r74JGsI49U2JX7omsjD-_g_5_0"/>
      <w:bookmarkStart w:id="1100" w:name="Tc_N5SuG0rnf0CxjbTvqlpUqg_4_11"/>
      <w:bookmarkStart w:id="1101" w:name="Tc_1DaNNAF7lEWCGyhDlNLtCw_4_8"/>
      <w:bookmarkStart w:id="1102" w:name="Tc_kykHmc4s0UyQSWkUPWxtaQ_4_5"/>
      <w:bookmarkStart w:id="1103" w:name="Tc_kjl_l4T8hEGjPdAFiUVWPA_4_2"/>
      <w:bookmarkStart w:id="1104" w:name="Tc_sqz0LhewWU--oko_6TJZHg_4_0"/>
      <w:bookmarkStart w:id="1105" w:name="Tc_vVn1N6rKN0i8s96O2CWdiQ_3_0"/>
      <w:bookmarkStart w:id="1106" w:name="Tc_cnudLF4ack27anl7Ww7lDQ_2_11"/>
      <w:bookmarkStart w:id="1107" w:name="Tc_QlJsN9xrck-ViK6Fbxc8rg_2_8"/>
      <w:bookmarkStart w:id="1108" w:name="Tc_uf8E5ik8ZUGyS3qlfKW-oA_2_5"/>
      <w:bookmarkStart w:id="1109" w:name="Tc_gZDmwoe61Umc03_zTliH0A_2_2"/>
      <w:bookmarkStart w:id="1110" w:name="Tc_jB5g1GzQ8EqX_NNfgEJAMg_2_0"/>
      <w:bookmarkStart w:id="1111" w:name="Tc_vmqMDOm0_kCSH6oLb-eBGw_1_8"/>
      <w:bookmarkStart w:id="1112" w:name="Tc_1FlfqxndNkungCQ5e5WqMQ_1_2"/>
      <w:bookmarkStart w:id="1113" w:name="_5729bb4e_6839_447f_a56e_036ace7ef3dc"/>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r>
        <w:rPr>
          <w:rFonts w:ascii="Times New Roman;Times;serif" w:hAnsi="Times New Roman;Times;serif"/>
          <w:sz w:val="20"/>
        </w:rPr>
        <w:t>The following table sets forth the computation of basic loss per share attributable to common stockholders and the participating securities for the periods presented (in thousands, except share and per share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Basic LPS: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0"/>
              <w:ind w:left="0" w:right="0" w:hanging="0"/>
              <w:jc w:val="left"/>
              <w:rPr/>
            </w:pPr>
            <w:r>
              <w:rPr/>
              <w:t>​</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7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(amounts in thousands, except share and per share data)</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used in computing net loss per share attributable to common stockholders - Basic</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37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per share attributable to common stockholders - Basic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diluted loss per share attributable to common stockholders for the periods presented (in thousands, except share and per share data):</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Diluted LPS: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7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 except share and per share data)</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(11,660)</w:t>
            </w:r>
          </w:p>
        </w:tc>
      </w:tr>
      <w:tr>
        <w:trPr/>
        <w:tc>
          <w:tcPr>
            <w:tcW w:w="378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Adjustment for fair value changes to convertible securities notes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r>
      <w:tr>
        <w:trPr/>
        <w:tc>
          <w:tcPr>
            <w:tcW w:w="37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attributable to common stockholders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(13,277)</w:t>
            </w:r>
          </w:p>
        </w:tc>
      </w:tr>
      <w:tr>
        <w:trPr/>
        <w:tc>
          <w:tcPr>
            <w:tcW w:w="3788"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effect of shares issuable to Convertible Securities Notes (if-converted method)</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22,210,459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shares – Diluted (if-converted method)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shd w:fill="FFFF00" w:val="clear"/>
        </w:rPr>
      </w:pPr>
      <w:r>
        <w:rPr>
          <w:shd w:fill="FFFF00" w:val="clear"/>
        </w:rPr>
        <w:t>​</w:t>
      </w:r>
    </w:p>
    <w:tbl>
      <w:tblPr>
        <w:tblW w:w="6127" w:type="dxa"/>
        <w:jc w:val="left"/>
        <w:tblInd w:w="0" w:type="dxa"/>
        <w:tblLayout w:type="fixed"/>
        <w:tblCellMar>
          <w:top w:w="0" w:type="dxa"/>
          <w:left w:w="0" w:type="dxa"/>
          <w:bottom w:w="0" w:type="dxa"/>
          <w:right w:w="0" w:type="dxa"/>
        </w:tblCellMar>
      </w:tblPr>
      <w:tblGrid>
        <w:gridCol w:w="3841"/>
        <w:gridCol w:w="1036"/>
        <w:gridCol w:w="109"/>
        <w:gridCol w:w="1141"/>
      </w:tblGrid>
      <w:tr>
        <w:trPr/>
        <w:tc>
          <w:tcPr>
            <w:tcW w:w="384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57860" cy="175260"/>
                      <wp:effectExtent l="0" t="0" r="0" b="0"/>
                      <wp:wrapNone/>
                      <wp:docPr id="185" name="Frame1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24535" cy="175260"/>
                      <wp:effectExtent l="0" t="0" r="0" b="0"/>
                      <wp:wrapNone/>
                      <wp:docPr id="186" name="Frame1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both"/>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41" w:type="dxa"/>
            <w:tcBorders/>
            <w:vAlign w:val="center"/>
          </w:tcPr>
          <w:p>
            <w:pPr>
              <w:pStyle w:val="TableContents"/>
              <w:bidi w:val="0"/>
              <w:spacing w:before="0" w:after="0"/>
              <w:ind w:left="0" w:right="0" w:hanging="0"/>
              <w:jc w:val="both"/>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2025 Milestone Warrants</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12,025,886</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 Warrants</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7,528,727</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Earn-out Shares, subject to vesting conditions</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2025 PIPE Pre-funded Warrants</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2,963,612</w:t>
            </w:r>
          </w:p>
        </w:tc>
        <w:tc>
          <w:tcPr>
            <w:tcW w:w="109"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 shares</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3,232,331</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 outstanding</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10,472,642</w:t>
            </w:r>
          </w:p>
        </w:tc>
        <w:tc>
          <w:tcPr>
            <w:tcW w:w="109" w:type="dxa"/>
            <w:tcBorders/>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38,870,698</w:t>
            </w:r>
          </w:p>
        </w:tc>
        <w:tc>
          <w:tcPr>
            <w:tcW w:w="109" w:type="dxa"/>
            <w:tcBorders/>
            <w:shd w:fill="CCEEFF" w:val="clear"/>
            <w:vAlign w:val="center"/>
          </w:tcPr>
          <w:p>
            <w:pPr>
              <w:pStyle w:val="TableContents"/>
              <w:bidi w:val="0"/>
              <w:spacing w:before="0" w:after="0"/>
              <w:ind w:left="0" w:right="0" w:hanging="0"/>
              <w:jc w:val="righ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10,176,227</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2026, there was no material change from the fiscal year ended December 31, 2025, in the amount of the Company's deferred tax assets that are not considered to be more likely than not to be realized in future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three and six months ended June 30, 2026 and June 30, 2025,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U.S. federal income tax as well as income tax of foreign and state tax jurisdictions. The tax years 2021-2025 remain open to examination by the major taxing jurisdictions to which the Company is subject, except the Internal Revenue Service for which the tax years 2022-2025 remain open.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has incorporated the provisions that were effective during the third quarter of 2025 and assessed that the impacts did not have a material impact on its condensed consolidated financial statements. The Company will continue to assess any future impacts on its condensed consolidated financial statements and will recognize the income tax effects beginning in the period in which they are effective</w:t>
      </w:r>
      <w:r>
        <w:rPr>
          <w:rFonts w:ascii="Arial;Helvetica;sans-serif" w:hAnsi="Arial;Helvetica;sans-serif"/>
          <w:sz w:val="20"/>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Related Party Transactions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Business Combination and the Convertible Securities Notes agreement, the Company issued $7.0 million Convertible Securities Notes to Perceptive PIPE Investor, the controlling party of the Company, in exchange for Perceptive PIPE Investor’s investment in Legacy Adagio in the form of the February 2024 Convertible Notes. Refer to </w:t>
      </w:r>
      <w:r>
        <w:rPr>
          <w:rFonts w:ascii="Times New Roman;Times;serif" w:hAnsi="Times New Roman;Times;serif"/>
          <w:i/>
          <w:sz w:val="20"/>
        </w:rPr>
        <w:t>Note 8 - Debt </w:t>
      </w:r>
      <w:r>
        <w:rPr>
          <w:rFonts w:ascii="Times New Roman;Times;serif" w:hAnsi="Times New Roman;Times;serif"/>
          <w:sz w:val="20"/>
        </w:rPr>
        <w:t>for additional information regarding the Convertible Securities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2025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2025 PIPE Financing, the Company issued 2,190,496 2025 PIPE Pre-Funded Warrants and Milestone Warrants for an aggregate purchase price of $4,250,000 to Perceptive PIPE Investor, the controlling party of the Company.</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one reportable segment managed on a consolidated basis by the Chief Executive Officer (CEO), who is the Chief Operating Decision Maker (“CODM”). In identifying one reportable segment, the Company considered the basis of organization for the design and development and commercialization of ablation technologies for the treatment of cardiac arrhythmias.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accounting policies of the segment are the same as those described in the summary of significant accounting policies. The CODM assesses performance and decides how to allocate resources based on consolidated net loss as reported in the condensed consolidated statements of operations and comprehensive loss. There are no other expense categories regularly provided to the CODM that are not already included in the condensed consolidated statements of operations and comprehensive loss. The measure of segment assets is reported on the condensed consolidated balance sheets as total consolidated assets.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114" w:name="Tc_rc3coRafn0-dMMuWoD7hIw_9_11"/>
      <w:bookmarkStart w:id="1115" w:name="Tc_yOsGESIfBUCWPG3g3DHZHA_9_9"/>
      <w:bookmarkStart w:id="1116" w:name="Tc_TCKZN413jUKZ8nkyKlmDvw_9_5"/>
      <w:bookmarkStart w:id="1117" w:name="Tc_vmTtO_kfkEuKFGUKD6e9KA_9_2"/>
      <w:bookmarkStart w:id="1118" w:name="Tc_i9GAYqeC_USV5Uw1BHej8A_9_0"/>
      <w:bookmarkStart w:id="1119" w:name="Tc_hRCzXmD5DUaxX-BcdQp9lA_8_0"/>
      <w:bookmarkStart w:id="1120" w:name="Tc_REkuD023X0i-F7Qv5zEOFg_7_0"/>
      <w:bookmarkStart w:id="1121" w:name="Tc_Uj1a60LMeUSZyJJovlBBfg_6_0"/>
      <w:bookmarkStart w:id="1122" w:name="Tc_YAwtgzBJrEWy0VXvY_mhJQ_5_10"/>
      <w:bookmarkStart w:id="1123" w:name="Tc_c8ROxPYU9EiTJZTDRSbVUw_5_3"/>
      <w:bookmarkStart w:id="1124" w:name="Tc_SZa4j3bB802SzxZOq-VJzw_5_0"/>
      <w:bookmarkStart w:id="1125" w:name="Tc_jUEacDXubEOveNxGuX5RGA_4_0"/>
      <w:bookmarkStart w:id="1126" w:name="Tc_M261XdKLFUi692Z7jyqg6Q_3_12"/>
      <w:bookmarkStart w:id="1127" w:name="Tc_v5OZOpqeXUOhBKoyKyNoEQ_3_11"/>
      <w:bookmarkStart w:id="1128" w:name="Tc_58SNdA_RUEKS8N9h4EKWIw_3_10"/>
      <w:bookmarkStart w:id="1129" w:name="Tc_m3L3Fup_yEaAZ951RDZ94Q_3_9"/>
      <w:bookmarkStart w:id="1130" w:name="Tc_cWWIVkD5fUGPKamy3Xufjw_3_6"/>
      <w:bookmarkStart w:id="1131" w:name="Tc_C7XCMjWLgU-d5q2-ofeTDQ_3_5"/>
      <w:bookmarkStart w:id="1132" w:name="Tc_nqO1Lq6kgkS2mla3PJNBtA_3_3"/>
      <w:bookmarkStart w:id="1133" w:name="Tc_F3ccnu7YMUaxLv4w_S_Ayw_3_2"/>
      <w:bookmarkStart w:id="1134" w:name="Tc_DN8_WNNRPEathwThsgYiag_3_0"/>
      <w:bookmarkStart w:id="1135" w:name="Tc_mXfcoWN_R0GgSRv5oJ8qww_2_12"/>
      <w:bookmarkStart w:id="1136" w:name="Tc_oCQKlUaoQUKOW77islaUhA_2_9"/>
      <w:bookmarkStart w:id="1137" w:name="Tc_ikfqdKRkx0ulgY-C4ikH7w_2_5"/>
      <w:bookmarkStart w:id="1138" w:name="Tc_ERhwlNO-sk-6Up1OB-LNtA_2_2"/>
      <w:bookmarkStart w:id="1139" w:name="Tc_e5DsmbzyN0itHimGqK-_kg_1_9"/>
      <w:bookmarkStart w:id="1140" w:name="Tc_a0GT6bgnpEOKPBNqFXNNbA_1_2"/>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sz w:val="20"/>
        </w:rPr>
        <w:t>Summary of segment net loss, including significant segment expenses were as follows:</w:t>
      </w:r>
    </w:p>
    <w:p>
      <w:pPr>
        <w:pStyle w:val="TextBody"/>
        <w:bidi w:val="0"/>
        <w:spacing w:before="0" w:after="0"/>
        <w:ind w:left="0" w:right="0" w:firstLine="360"/>
        <w:jc w:val="both"/>
        <w:rPr/>
      </w:pPr>
      <w:r>
        <w:rPr/>
        <w:t>​</w:t>
      </w:r>
    </w:p>
    <w:tbl>
      <w:tblPr>
        <w:tblW w:w="8140" w:type="dxa"/>
        <w:jc w:val="left"/>
        <w:tblInd w:w="0" w:type="dxa"/>
        <w:tblLayout w:type="fixed"/>
        <w:tblCellMar>
          <w:top w:w="0" w:type="dxa"/>
          <w:left w:w="0" w:type="dxa"/>
          <w:bottom w:w="0" w:type="dxa"/>
          <w:right w:w="0" w:type="dxa"/>
        </w:tblCellMar>
      </w:tblPr>
      <w:tblGrid>
        <w:gridCol w:w="3001"/>
        <w:gridCol w:w="109"/>
        <w:gridCol w:w="274"/>
        <w:gridCol w:w="899"/>
        <w:gridCol w:w="141"/>
        <w:gridCol w:w="274"/>
        <w:gridCol w:w="899"/>
        <w:gridCol w:w="109"/>
        <w:gridCol w:w="109"/>
        <w:gridCol w:w="238"/>
        <w:gridCol w:w="899"/>
        <w:gridCol w:w="238"/>
        <w:gridCol w:w="950"/>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905635" cy="175260"/>
                      <wp:effectExtent l="0" t="0" r="0" b="0"/>
                      <wp:wrapNone/>
                      <wp:docPr id="187" name="Frame18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3990" cy="175260"/>
                      <wp:effectExtent l="0" t="0" r="0" b="0"/>
                      <wp:wrapNone/>
                      <wp:docPr id="189" name="Frame18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70865" cy="175260"/>
                      <wp:effectExtent l="0" t="0" r="0" b="0"/>
                      <wp:wrapNone/>
                      <wp:docPr id="190" name="Frame19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9535" cy="175260"/>
                      <wp:effectExtent l="0" t="0" r="0" b="0"/>
                      <wp:wrapNone/>
                      <wp:docPr id="191" name="Frame191"/>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3990" cy="175260"/>
                      <wp:effectExtent l="0" t="0" r="0" b="0"/>
                      <wp:wrapNone/>
                      <wp:docPr id="192" name="Frame19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70865" cy="175260"/>
                      <wp:effectExtent l="0" t="0" r="0" b="0"/>
                      <wp:wrapNone/>
                      <wp:docPr id="193" name="Frame19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1130" cy="175260"/>
                      <wp:effectExtent l="0" t="0" r="0" b="0"/>
                      <wp:wrapNone/>
                      <wp:docPr id="196" name="Frame19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70865" cy="175260"/>
                      <wp:effectExtent l="0" t="0" r="0" b="0"/>
                      <wp:wrapNone/>
                      <wp:docPr id="197" name="Frame19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1130" cy="175260"/>
                      <wp:effectExtent l="0" t="0" r="0" b="0"/>
                      <wp:wrapNone/>
                      <wp:docPr id="198" name="Frame19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03250" cy="175260"/>
                      <wp:effectExtent l="0" t="0" r="0" b="0"/>
                      <wp:wrapNone/>
                      <wp:docPr id="199" name="Frame199"/>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2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0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41" w:type="dxa"/>
            <w:tcBorders/>
            <w:vAlign w:val="center"/>
          </w:tcPr>
          <w:p>
            <w:pPr>
              <w:pStyle w:val="TableContents"/>
              <w:bidi w:val="0"/>
              <w:spacing w:before="0" w:after="1"/>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pPr>
            <w:r>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pPr>
            <w:r>
              <w:rPr/>
              <w:t>​</w:t>
            </w:r>
          </w:p>
        </w:tc>
        <w:tc>
          <w:tcPr>
            <w:tcW w:w="141"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pPr>
            <w:r>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w:t>
            </w:r>
          </w:p>
        </w:tc>
        <w:tc>
          <w:tcPr>
            <w:tcW w:w="141"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righ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5,191</w:t>
            </w:r>
          </w:p>
        </w:tc>
        <w:tc>
          <w:tcPr>
            <w:tcW w:w="238"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5,630</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4,943</w:t>
            </w:r>
          </w:p>
        </w:tc>
        <w:tc>
          <w:tcPr>
            <w:tcW w:w="238"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5,976</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c>
          <w:tcPr>
            <w:tcW w:w="141"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(6,717)</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(13,712)</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 Subsequent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evaluated subsequent events occurring after the condensed consolidated balance sheet date through the date these condensed consolidated financial statements were issued and has determined that there were no subsequent events that required recognition or disclosure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1" w:name="Item2ManagementsDiscussionandAnalysis_12"/>
      <w:bookmarkStart w:id="1142" w:name="_0e03dcdc_4fd8_457d_bece_ad4882ec5a00"/>
      <w:bookmarkEnd w:id="1141"/>
      <w:bookmarkEnd w:id="1142"/>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together with the condensed consolidated financial statements and the related notes and other financial information included elsewhere in this Quarterly Report on Form 10-Q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Report to “we,” “us,” “Adagio,” and “the Company” refer to the business and operations of Adagio Medical Holdings, Inc. and its consolidated subsidiaries. References to our “management” or our “management team” refer to our officers and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medical device company focused on developing and commercializing products for the treatment of cardiac arrhythmias with our novel, proprietary, catheter-based Ultra-Low Temperature Ablation (“ULTA”) platform technology. Our initial focus is on the treatment of ventricular tachycardia (“VT”). VT is a rapid, abnormal heart rhythm, or arrhythmia, that originates in the heart's lower chambers, or ventricles, potentially leading to impaired blood flow and, if sustained, VT can be fatal. VT-associated sudden cardiac death (“SCD”) accounts for approximately 300,000 deaths each year in the United States. Radio Frequency (“RF”) ablation catheters currently approved to treat VT were primarily designed and approved for the treatment of atrial fibrillation (“AF”) and are therefore not designed to optimally treat the specifics of the ventricular anatomy and disease. As a result, VT procedures performed with current devices can be overly complex and can lead to sub-optimal outcomes, factors that have potentially led to the limited growth  of VT ablation procedures, and the consequential unmet need in the large population of patients suffering from VT.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clinically tested, proprietary ULTA products are purpose-built to treat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are designed to create large, durable, deep, titratable lesions within the ventricle, all through an endocardial approach and with no required irrigation. In October 2025, we announced completion of enrollment in our FULCRUM-VT Pivotal U.S. Food and Drug Administration (“FDA”) Investigational Device Exemption (“IDE”) study evaluating our first generation vCLAS Ventricular Ablation System for the treatment of Sustained Monomorphic Ventricular Tachycardia (“SMVT”) in patients with both ischemic and nonischemic cardiomyopathy, and in May 2026 we announced the submission of our Premarket Approval (“PMA”) application to the FDA for the vCLAS Ventricular Ablation System. The vCLAS System was granted Breakthrough Device Designation by the FDA in April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also developed a faster, smaller next-generation vCLAS </w:t>
      </w:r>
      <w:r>
        <w:rPr>
          <w:rFonts w:ascii="Times New Roman;Times;serif" w:hAnsi="Times New Roman;Times;serif"/>
          <w:i/>
          <w:sz w:val="20"/>
        </w:rPr>
        <w:t>Ultra</w:t>
      </w:r>
      <w:r>
        <w:rPr>
          <w:rFonts w:ascii="Times New Roman;Times;serif" w:hAnsi="Times New Roman;Times;serif"/>
          <w:sz w:val="20"/>
        </w:rPr>
        <w:t xml:space="preserve"> Ventricular Ablation System, which is designed to improve customer usability and integration with the existing ablation laboratory workflow. vCLAS </w:t>
      </w:r>
      <w:r>
        <w:rPr>
          <w:rFonts w:ascii="Times New Roman;Times;serif" w:hAnsi="Times New Roman;Times;serif"/>
          <w:i/>
          <w:sz w:val="20"/>
        </w:rPr>
        <w:t>Ultra</w:t>
      </w:r>
      <w:r>
        <w:rPr>
          <w:rFonts w:ascii="Times New Roman;Times;serif" w:hAnsi="Times New Roman;Times;serif"/>
          <w:sz w:val="20"/>
        </w:rPr>
        <w:t xml:space="preserve"> features a more flexible, smaller diameter shaft that is compatible with the industry-standard 8.5 Fr sheaths and operates at lower ablation temperatures resulting in the shorter, single-freeze ablations. In April 2026 we received IDE approval from the FDA to evaluate the safety and effectiveness of our vCLAS </w:t>
      </w:r>
      <w:r>
        <w:rPr>
          <w:rFonts w:ascii="Times New Roman;Times;serif" w:hAnsi="Times New Roman;Times;serif"/>
          <w:i/>
          <w:sz w:val="20"/>
        </w:rPr>
        <w:t>Ultra</w:t>
      </w:r>
      <w:r>
        <w:rPr>
          <w:rFonts w:ascii="Times New Roman;Times;serif" w:hAnsi="Times New Roman;Times;serif"/>
          <w:sz w:val="20"/>
        </w:rPr>
        <w:t xml:space="preserve"> Ventricular Ablation System for the treatment of SMVT.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purpose-built solutions have the potential to drive additional market growth in the ablative treatment of the large, underserved VT patient population.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established a robust cadence of clinical data designed to evaluate our ULTA technology and support regulatory approvals of our product portfolio. Preliminary data suggest that our approach to treating VT offers a favorable combination of safety, acute and chronic effectiveness compared to the current standard of care, including ablation performed using radio frequency (“RF”) and/or pulsed field ablation (“PFA”) energy sources. The outcomes of our first-in-human CRYOCURE-VT trial, which included 64 patients in nine centers in the European Union and Canada were used to support the March 2024 Conformité Européenne (“CE Mark”) approval of our vCLAS. Ventricular Ablation System for VT. Our 209-patient FULCRUM-VT IDE pivotal clinical trial completed enrollment in October 2025 across 19 centers in the United States and Canada. The study includes patients with both ischemic (“ICM”) and non-ischemic (“NICM”) cardiomyopathies (LVEF=35+/-10%, 33% NICM, 75% with congestive heart failure). In our preliminary acute safety and efficacy results, which we shared in October 2025,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an independent clinical events committee as definitely related to the investigational device. In April 2026, we announced preliminary 6-month results from our FULCRUM-VT Pivotal IDE clinical trial, which demonstrated 84.3% six-month freedom from ICD shock and a 78% reduction or elimination of amiodarone use. Importantly, vCLAS demonstrated equivalent clinical effectiveness in both ischemic and non-ischemic cardiomyopathy, addressing the largest unmet need in VT ablation. In May 2026, we submitted a PMA application to the FDA for the approval of the vCLAS Ventricular Ablation System.</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also developed a proprietary dual-therapy ablation technology which we call Pulsed Field Cryoablation (“PFCA”), that combines PFA with our ULTA technology. Early demonstration of PFCA technology has been performed in the European PARALELL trial in patients with persistent atrial fibrillation and in preclinical studies targeting VT ablations.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incurred net losses each year since our inception in 2011. As of June 30, 2026, and December 31, 2025, we had an accumulated deficit of $109.4 million and $95.6 million, respectively. For the three and six months ended June 30, 2026 and June 30, 2025, our net loss was $6.7 million, $13.7 million, $3.9 million and $11.7 million, respectively. The net cash used in operating activities was $9.4 million and $11.9 million, for the six months ended June 30, 2026 and June 30, 2025, respectively. Substantially all of our accumulated deficit has resulted from costs incurred in connection with our research and development programs and from general and administrative costs associated with our operations. As of June 30, 2026, and December 31, 2025, we had cash of $7.7 million and $17.1 million, respectively.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Going Concern and Operating Outlook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basis that assumes we will continue as a going concern, which contemplates the realization of assets and the satisfaction of liabilities in the normal course of business. We have limited revenue and have experienced recurring operating losses and negative cash flows from operations since our inception and anticipate that we will continue to do so for at least the next several years.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 date, we do not believe our existing cash and cash equivalents are sufficient to fund our operating and capital expenditure requirements for at least 12 months from the date of issuance of the audited consolidated financial statements included in this Report. Based on our current research and development plans, we expect to have sufficient resources to fund our planned operations into the fourth quarter of 2026. We have based this estimate on assumptions that may prove to be wrong, and we could exhaust our capital resources sooner than expected. No assurance can be given as to whether additional needed financing will be available on terms acceptable to us, if at all. If sufficient funds on acceptable terms are not available when needed, we may be required to suspend or forego certain planned activities. Failure to manage discretionary spending or raise additional financing, as needed, could adversely impact our ability to achieve our intended business objectives and may have an adverse effect on our results of operations and future prospects. These factors raise substantial doubt about our ability to continue as a going concern for the twelve-month period from the date of this filing with the SEC. Refer to </w:t>
      </w:r>
      <w:r>
        <w:rPr>
          <w:rFonts w:ascii="Times New Roman;Times;serif" w:hAnsi="Times New Roman;Times;serif"/>
          <w:i/>
          <w:sz w:val="20"/>
        </w:rPr>
        <w:t>Note 1 - Description of Organization and Business Operations</w:t>
      </w:r>
      <w:r>
        <w:rPr>
          <w:rFonts w:ascii="Times New Roman;Times;serif" w:hAnsi="Times New Roman;Times;serif"/>
          <w:sz w:val="20"/>
        </w:rPr>
        <w:t xml:space="preserve"> in our condensed consolidated financial statements for additional information on the going concern assessment.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need for additional capital in the future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Description of the Merger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NASDAQ Notice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12, 2026, we received a notice from the Listing Qualifications Department of The Nasdaq Stock Market LLC (“Nasdaq”) notifying us that the listing of our common stock was not in compliance with Nasdaq Listing Rule 5550(a)(2) for continued listing on The Nasdaq Capital Market, as the minimum bid price of our common stock was less than $1.00 per share for the previous 30 consecutive business days (the “Minimum Bid Price Requirement”). In accordance with Nasdaq Listing Rule 5810(c)(3)(A), we have a period of 180 calendar days from the date of notification, or until December 9, 2026, to regain compliance with the Minimum Bid Price Requirement. During this period, our common stock will continue to trade on the Nasdaq Capital Market. If at any time before December 9, 2026, the bid price of our common stock closes at or above $1.00 per share for a minimum of ten consecutive trading days, Nasdaq will provide written notification that we have achieved compliance with this minimum bid price requirement. In the event that we do not regain compliance by December 9, 2026, a second 180-day compliance period may be available if we provide written notice to Nasdaq that we intend to regain compliance with the bid price requirement during the second 180-day compliance period, by effecting a reverse stock split if necessary, and we meet the continued listing requirement for market value of publicly held shares and all other initial listing standards for The Nasdaq Capital Market, except for the bid price requirement. If the Company does not qualify for the second compliance period or fails to regain compliance during the second 180-day period, then Nasdaq will notify the Company that its Common Stock is subject to delisting.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compete primarily on the basis that our products are designed to enable more physicians to treat more patients more efficiently and effectively. Our continued success depends on our ability to:</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innovative, proprietary products that address significant clinical needs in a manner that is safe and effective for patients and easy-to-use for physicians;</w:t>
            </w:r>
          </w:p>
        </w:tc>
      </w:tr>
    </w:tbl>
    <w:tbl>
      <w:tblPr>
        <w:tblW w:w="4986" w:type="dxa"/>
        <w:jc w:val="left"/>
        <w:tblInd w:w="0" w:type="dxa"/>
        <w:tblLayout w:type="fixed"/>
        <w:tblCellMar>
          <w:top w:w="28" w:type="dxa"/>
          <w:left w:w="28" w:type="dxa"/>
          <w:bottom w:w="28" w:type="dxa"/>
          <w:right w:w="28" w:type="dxa"/>
        </w:tblCellMar>
      </w:tblPr>
      <w:tblGrid>
        <w:gridCol w:w="124"/>
        <w:gridCol w:w="19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regulatory clearances or approvals;</w:t>
            </w:r>
          </w:p>
        </w:tc>
      </w:tr>
    </w:tbl>
    <w:tbl>
      <w:tblPr>
        <w:tblW w:w="7251" w:type="dxa"/>
        <w:jc w:val="left"/>
        <w:tblInd w:w="0" w:type="dxa"/>
        <w:tblLayout w:type="fixed"/>
        <w:tblCellMar>
          <w:top w:w="28" w:type="dxa"/>
          <w:left w:w="28" w:type="dxa"/>
          <w:bottom w:w="28" w:type="dxa"/>
          <w:right w:w="28" w:type="dxa"/>
        </w:tblCellMar>
      </w:tblPr>
      <w:tblGrid>
        <w:gridCol w:w="124"/>
        <w:gridCol w:w="19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demonstrate safety and effectiveness in our sponsored and third-party clinical trials;</w:t>
            </w:r>
          </w:p>
        </w:tc>
      </w:tr>
    </w:tbl>
    <w:tbl>
      <w:tblPr>
        <w:tblW w:w="6501" w:type="dxa"/>
        <w:jc w:val="left"/>
        <w:tblInd w:w="0" w:type="dxa"/>
        <w:tblLayout w:type="fixed"/>
        <w:tblCellMar>
          <w:top w:w="28" w:type="dxa"/>
          <w:left w:w="28" w:type="dxa"/>
          <w:bottom w:w="28" w:type="dxa"/>
          <w:right w:w="28" w:type="dxa"/>
        </w:tblCellMar>
      </w:tblPr>
      <w:tblGrid>
        <w:gridCol w:w="124"/>
        <w:gridCol w:w="19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sales force across key markets to increase physician awareness;</w:t>
            </w:r>
          </w:p>
        </w:tc>
      </w:tr>
    </w:tbl>
    <w:tbl>
      <w:tblPr>
        <w:tblW w:w="8076" w:type="dxa"/>
        <w:jc w:val="left"/>
        <w:tblInd w:w="0" w:type="dxa"/>
        <w:tblLayout w:type="fixed"/>
        <w:tblCellMar>
          <w:top w:w="28" w:type="dxa"/>
          <w:left w:w="28" w:type="dxa"/>
          <w:bottom w:w="28" w:type="dxa"/>
          <w:right w:w="28" w:type="dxa"/>
        </w:tblCellMar>
      </w:tblPr>
      <w:tblGrid>
        <w:gridCol w:w="124"/>
        <w:gridCol w:w="19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maintain coverage and adequate reimbursement for procedures using our products;</w:t>
            </w:r>
          </w:p>
        </w:tc>
      </w:tr>
    </w:tbl>
    <w:tbl>
      <w:tblPr>
        <w:tblW w:w="6681" w:type="dxa"/>
        <w:jc w:val="left"/>
        <w:tblInd w:w="0" w:type="dxa"/>
        <w:tblLayout w:type="fixed"/>
        <w:tblCellMar>
          <w:top w:w="28" w:type="dxa"/>
          <w:left w:w="28" w:type="dxa"/>
          <w:bottom w:w="28" w:type="dxa"/>
          <w:right w:w="28" w:type="dxa"/>
        </w:tblCellMar>
      </w:tblPr>
      <w:tblGrid>
        <w:gridCol w:w="124"/>
        <w:gridCol w:w="19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skilled research, development, sales and clinical personnel;</w:t>
            </w:r>
          </w:p>
        </w:tc>
      </w:tr>
    </w:tbl>
    <w:tbl>
      <w:tblPr>
        <w:tblW w:w="5571" w:type="dxa"/>
        <w:jc w:val="left"/>
        <w:tblInd w:w="0" w:type="dxa"/>
        <w:tblLayout w:type="fixed"/>
        <w:tblCellMar>
          <w:top w:w="28" w:type="dxa"/>
          <w:left w:w="28" w:type="dxa"/>
          <w:bottom w:w="28" w:type="dxa"/>
          <w:right w:w="28" w:type="dxa"/>
        </w:tblCellMar>
      </w:tblPr>
      <w:tblGrid>
        <w:gridCol w:w="124"/>
        <w:gridCol w:w="19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cost-effectively manufacture, market and sell our products;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maintain, enforce and defend our intellectual property rights and operate our business without infringing, misappropriating or otherwise violating the intellectual property rights of others.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Innovation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Investments in Our Growth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Reimbursement and Insurance Coverage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have generated product revenue primarily from the sale of the catheters used with our consoles. We have sold our products directly to hospitals and medical centers. To a lesser extent, we also generated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Times;serif" w:hAnsi="Times New Roman;Times;serif"/>
          <w:i/>
          <w:sz w:val="20"/>
        </w:rPr>
        <w:t>Note 2 - Summary of Significant Accounting Policies</w:t>
      </w:r>
      <w:r>
        <w:rPr>
          <w:rFonts w:ascii="Times New Roman;Times;serif" w:hAnsi="Times New Roman;Times;serif"/>
          <w:sz w:val="20"/>
        </w:rPr>
        <w:t> in our condensed consolidated financial statements for additional details on our revenue recognition policy. Our revenue is subject to fluctuation due to the foreign currency in which our products are sold.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2025, we announced a strategic realignment of resources to prioritize the completion of our FULCRUM-VT U.S. pivotal IDE clinical trial and our product design optimization program. As part of this realignment, we paused the limited European launch of our vCLAS™ catheter and significantly reduced commercial activities. As a result, we did not generate revenue during the three and six months ended June 30, 2026 and June 30, 2025.</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operating expenses</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 Such ongoing cost is presented with research and development cost for the period ended June 30, 2026.</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when incurred and are related to the development of our product candidates which includes pre-clinical, clinical, quality assurance, and research and development operational activities. These costs consist of:</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employee-related costs, including stock-based compensation expense for personnel engaged in research and development functions;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activities associated with clinical trials performed by third parties;</w:t>
            </w:r>
          </w:p>
        </w:tc>
      </w:tr>
    </w:tbl>
    <w:tbl>
      <w:tblPr>
        <w:tblW w:w="1941" w:type="dxa"/>
        <w:jc w:val="left"/>
        <w:tblInd w:w="0" w:type="dxa"/>
        <w:tblLayout w:type="fixed"/>
        <w:tblCellMar>
          <w:top w:w="28" w:type="dxa"/>
          <w:left w:w="28" w:type="dxa"/>
          <w:bottom w:w="28" w:type="dxa"/>
          <w:right w:w="28" w:type="dxa"/>
        </w:tblCellMar>
      </w:tblPr>
      <w:tblGrid>
        <w:gridCol w:w="124"/>
        <w:gridCol w:w="256"/>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materials, and costs related to product manufacturing;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operational costs including rent and facilities costs, and depreciation.</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In future periods we expect our selling, general, and administrative expenses to increase as we continue to expand on our operations and grow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the Convertible Securities Notes (as defined below), including amounts related to interest, is recorded in “Convertible notes fair value adjustment.”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certain investors (the “Convert Investors”) executed a securities purchase agreement dated February 13, 2024, with ListCo (the “Convertible Security Subscription Agreement”), pursuant to which ListCo issued on the Closing Date to the Convert Investors $20.0 million of 13% senior secured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into Convertible Securities Notes and Convert Warrants at Closing.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condensed consolidated statements of operations and comprehensive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is primarily incurred from our outstanding debt obligations under the Convertible Securities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cash equivalents, and money market accounts.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income, net primarily consists of foreign currency unrealized and realized gain/loss, and other income related to our research and development tax credit.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Comparison for the three and six months ended June 30, 2026 to the three and six months ended June 30, 2025</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results of operations, expressed as percentages of net revenue (in thousands):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877"/>
        <w:gridCol w:w="109"/>
        <w:gridCol w:w="196"/>
        <w:gridCol w:w="618"/>
        <w:gridCol w:w="109"/>
        <w:gridCol w:w="196"/>
        <w:gridCol w:w="618"/>
        <w:gridCol w:w="109"/>
        <w:gridCol w:w="196"/>
        <w:gridCol w:w="618"/>
        <w:gridCol w:w="109"/>
        <w:gridCol w:w="109"/>
        <w:gridCol w:w="507"/>
        <w:gridCol w:w="109"/>
        <w:gridCol w:w="109"/>
        <w:gridCol w:w="196"/>
        <w:gridCol w:w="708"/>
        <w:gridCol w:w="109"/>
        <w:gridCol w:w="196"/>
        <w:gridCol w:w="708"/>
        <w:gridCol w:w="109"/>
        <w:gridCol w:w="196"/>
        <w:gridCol w:w="618"/>
        <w:gridCol w:w="109"/>
        <w:gridCol w:w="109"/>
        <w:gridCol w:w="558"/>
      </w:tblGrid>
      <w:tr>
        <w:trPr/>
        <w:tc>
          <w:tcPr>
            <w:tcW w:w="2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26895" cy="175260"/>
                      <wp:effectExtent l="0" t="0" r="0" b="0"/>
                      <wp:wrapNone/>
                      <wp:docPr id="200" name="Frame200"/>
                      <a:graphic xmlns:a="http://schemas.openxmlformats.org/drawingml/2006/main">
                        <a:graphicData uri="http://schemas.microsoft.com/office/word/2010/wordprocessingShape">
                          <wps:wsp>
                            <wps:cNvSpPr txBox="1"/>
                            <wps:spPr>
                              <a:xfrm>
                                <a:off x="0" y="0"/>
                                <a:ext cx="182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4460" cy="175260"/>
                      <wp:effectExtent l="0" t="0" r="0" b="0"/>
                      <wp:wrapNone/>
                      <wp:docPr id="202" name="Frame2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92430" cy="175260"/>
                      <wp:effectExtent l="0" t="0" r="0" b="0"/>
                      <wp:wrapNone/>
                      <wp:docPr id="203" name="Frame203"/>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4460" cy="175260"/>
                      <wp:effectExtent l="0" t="0" r="0" b="0"/>
                      <wp:wrapNone/>
                      <wp:docPr id="205" name="Frame2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92430" cy="175260"/>
                      <wp:effectExtent l="0" t="0" r="0" b="0"/>
                      <wp:wrapNone/>
                      <wp:docPr id="206" name="Frame206"/>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4460" cy="175260"/>
                      <wp:effectExtent l="0" t="0" r="0" b="0"/>
                      <wp:wrapNone/>
                      <wp:docPr id="208" name="Frame2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92430" cy="175260"/>
                      <wp:effectExtent l="0" t="0" r="0" b="0"/>
                      <wp:wrapNone/>
                      <wp:docPr id="209" name="Frame209"/>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21945" cy="175260"/>
                      <wp:effectExtent l="0" t="0" r="0" b="0"/>
                      <wp:wrapNone/>
                      <wp:docPr id="212" name="Frame212"/>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4460" cy="175260"/>
                      <wp:effectExtent l="0" t="0" r="0" b="0"/>
                      <wp:wrapNone/>
                      <wp:docPr id="215" name="Frame2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49580" cy="175260"/>
                      <wp:effectExtent l="0" t="0" r="0" b="0"/>
                      <wp:wrapNone/>
                      <wp:docPr id="216" name="Frame21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49580" cy="175260"/>
                      <wp:effectExtent l="0" t="0" r="0" b="0"/>
                      <wp:wrapNone/>
                      <wp:docPr id="219" name="Frame21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21" name="Frame2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92430" cy="175260"/>
                      <wp:effectExtent l="0" t="0" r="0" b="0"/>
                      <wp:wrapNone/>
                      <wp:docPr id="222" name="Frame222"/>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54330" cy="175260"/>
                      <wp:effectExtent l="0" t="0" r="0" b="0"/>
                      <wp:wrapNone/>
                      <wp:docPr id="225" name="Frame22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8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For the three months ended June 30,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61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For the six months ended June 30, </w:t>
            </w:r>
          </w:p>
        </w:tc>
      </w:tr>
      <w:tr>
        <w:trPr/>
        <w:tc>
          <w:tcPr>
            <w:tcW w:w="28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5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5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8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left"/>
              <w:rPr/>
            </w:pPr>
            <w:r>
              <w:rPr/>
              <w:t>​</w:t>
            </w:r>
          </w:p>
        </w:tc>
        <w:tc>
          <w:tcPr>
            <w:tcW w:w="6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1"/>
              <w:ind w:left="0" w:right="0" w:hanging="0"/>
              <w:jc w:val="left"/>
              <w:rPr/>
            </w:pPr>
            <w:r>
              <w:rPr/>
              <w:t>​</w:t>
            </w:r>
          </w:p>
        </w:tc>
        <w:tc>
          <w:tcPr>
            <w:tcW w:w="6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(2,589)</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(expense) income, net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(2,553)</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(4,119)</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(3,947)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r>
      <w:tr>
        <w:trPr/>
        <w:tc>
          <w:tcPr>
            <w:tcW w:w="28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w:t>
            </w:r>
          </w:p>
        </w:tc>
      </w:tr>
      <w:tr>
        <w:trPr/>
        <w:tc>
          <w:tcPr>
            <w:tcW w:w="28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loss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(6,564)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(3,986)</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(2,578)</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(13,603)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(1,843)</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was nil for each of the three and six months ended June 30, 2026 and June 30, 2025, due to our pause in commercial activity in Europe.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 and operating expenses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nil for the three months ended June 30, 2026, compared to $0.3 million for the three months ended June 30, 2025, representing a decrease of $0.3 million, or 100%. The decrease was primarily attributable to the pause in commercial activity in Europe.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nil for the six months ended June 30, 2026, compared to $0.6 million for the six months ended June 30, 2025, representing a decrease of $0.6 million, or 100%. The decrease was primarily attributable to the pause in commercial activity in Europe.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related to consoles loaned to customers is generally classified within cost of revenue; however, because we did not generate revenue during the three and six months ended June 30, 2026, such depreciation expense is now reflected within research and development expenses for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were $2.5 million for the three months ended June 30, 2026, compared to $2.0 million for the three months ended June 30, 2025, representing an increase of $0.5 million, or 24%. The increase was primarily attributable to higher development costs, including consulting and prototyping, and higher operational costs, including the aforementioned depreciation expense, partially offset by lower clinical trial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were $5.2 million for the six months ended June 30, 2026, compared to $5.6 million for the six months ended June 30, 2025, representing a decrease of $0.4 million, or 8%. The decrease was primarily attributable to lower clinical trial expenses and lower product development costs, including consulting, prototyping, and project-related support, partially offset by higher operational costs, including the aforementioned depreciation expense.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breakdown of our research and development costs by type of expense (in thousands):</w:t>
      </w:r>
    </w:p>
    <w:p>
      <w:pPr>
        <w:pStyle w:val="TextBody"/>
        <w:bidi w:val="0"/>
        <w:spacing w:before="0" w:after="0"/>
        <w:ind w:left="0" w:right="0" w:firstLine="360"/>
        <w:jc w:val="both"/>
        <w:rPr>
          <w:shd w:fill="FFFF00" w:val="clear"/>
        </w:rPr>
      </w:pPr>
      <w:r>
        <w:rPr>
          <w:shd w:fill="FFFF00" w:val="clear"/>
        </w:rPr>
        <w:t>​</w:t>
      </w:r>
    </w:p>
    <w:tbl>
      <w:tblPr>
        <w:tblW w:w="9980" w:type="dxa"/>
        <w:jc w:val="left"/>
        <w:tblInd w:w="0" w:type="dxa"/>
        <w:tblLayout w:type="fixed"/>
        <w:tblCellMar>
          <w:top w:w="0" w:type="dxa"/>
          <w:left w:w="0" w:type="dxa"/>
          <w:bottom w:w="0" w:type="dxa"/>
          <w:right w:w="0" w:type="dxa"/>
        </w:tblCellMar>
      </w:tblPr>
      <w:tblGrid>
        <w:gridCol w:w="5296"/>
        <w:gridCol w:w="109"/>
        <w:gridCol w:w="291"/>
        <w:gridCol w:w="788"/>
        <w:gridCol w:w="150"/>
        <w:gridCol w:w="291"/>
        <w:gridCol w:w="788"/>
        <w:gridCol w:w="109"/>
        <w:gridCol w:w="256"/>
        <w:gridCol w:w="693"/>
        <w:gridCol w:w="132"/>
        <w:gridCol w:w="256"/>
        <w:gridCol w:w="821"/>
      </w:tblGrid>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4785" cy="175260"/>
                      <wp:effectExtent l="0" t="0" r="0" b="0"/>
                      <wp:wrapNone/>
                      <wp:docPr id="226" name="Frame22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00380" cy="175260"/>
                      <wp:effectExtent l="0" t="0" r="0" b="0"/>
                      <wp:wrapNone/>
                      <wp:docPr id="227" name="Frame22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4785" cy="175260"/>
                      <wp:effectExtent l="0" t="0" r="0" b="0"/>
                      <wp:wrapNone/>
                      <wp:docPr id="228" name="Frame22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0380" cy="175260"/>
                      <wp:effectExtent l="0" t="0" r="0" b="0"/>
                      <wp:wrapNone/>
                      <wp:docPr id="229" name="Frame229"/>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2560" cy="175260"/>
                      <wp:effectExtent l="0" t="0" r="0" b="0"/>
                      <wp:wrapNone/>
                      <wp:docPr id="231" name="Frame23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40055" cy="175260"/>
                      <wp:effectExtent l="0" t="0" r="0" b="0"/>
                      <wp:wrapNone/>
                      <wp:docPr id="232" name="Frame232"/>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3820" cy="175260"/>
                      <wp:effectExtent l="0" t="0" r="0" b="0"/>
                      <wp:wrapNone/>
                      <wp:docPr id="233" name="Frame233"/>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2560" cy="175260"/>
                      <wp:effectExtent l="0" t="0" r="0" b="0"/>
                      <wp:wrapNone/>
                      <wp:docPr id="234" name="Frame23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21335" cy="175260"/>
                      <wp:effectExtent l="0" t="0" r="0" b="0"/>
                      <wp:wrapNone/>
                      <wp:docPr id="235" name="Frame235"/>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0" w:type="dxa"/>
            <w:tcBorders/>
            <w:vAlign w:val="center"/>
          </w:tcPr>
          <w:p>
            <w:pPr>
              <w:pStyle w:val="TableContents"/>
              <w:bidi w:val="0"/>
              <w:spacing w:before="0" w:after="0"/>
              <w:ind w:left="0" w:right="0" w:hanging="0"/>
              <w:jc w:val="left"/>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trial costs and other research and development costs</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109"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132"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Quality assurance costs</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Operational costs</w:t>
            </w:r>
          </w:p>
        </w:tc>
        <w:tc>
          <w:tcPr>
            <w:tcW w:w="109"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150"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0"/>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w:t>
            </w:r>
          </w:p>
        </w:tc>
        <w:tc>
          <w:tcPr>
            <w:tcW w:w="109" w:type="dxa"/>
            <w:tcBorders/>
            <w:shd w:fill="CCEEFF" w:val="clear"/>
            <w:vAlign w:val="center"/>
          </w:tcPr>
          <w:p>
            <w:pPr>
              <w:pStyle w:val="TableContents"/>
              <w:bidi w:val="0"/>
              <w:spacing w:before="0" w:after="0"/>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5,191</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5,630</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clinical trial expenses relate to trials for our vCLAS Ventricular Ablation Catheter (FULCRUM-VT) and vCLAS </w:t>
      </w:r>
      <w:r>
        <w:rPr>
          <w:rFonts w:ascii="Times New Roman;Times;serif" w:hAnsi="Times New Roman;Times;serif"/>
          <w:i/>
          <w:sz w:val="20"/>
        </w:rPr>
        <w:t>Ultra</w:t>
      </w:r>
      <w:r>
        <w:rPr>
          <w:rFonts w:ascii="Times New Roman;Times;serif" w:hAnsi="Times New Roman;Times;serif"/>
          <w:sz w:val="20"/>
        </w:rPr>
        <w:t xml:space="preserve"> catheter (FULCRUM-VT). Clinical trial costs include the expenses related to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expenses related to product manufacturing.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were $2.5 million for the three months ended June 30, 2026, compared to $2.4 million for the three months ended June 30, 2025, representing an increase of $0.1 million, or 3%. The increase was primarily attributable to higher stock-based compensation expenses, partially offset by lower professional services expenses during the three months ended June 30, 2026, as compared to the three months ended June 30,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were $4.9 million for the six months ended June 30, 2026, compared to $6.0 million for the six months ended June 30, 2025, representing a decrease of $1.1 million, or 17%. The decrease was primarily due to lower professional services expenses, regulatory reporting expenses, and payroll and personnel expenses during the six months ended June 30, 2026, as compared to the six months ended June 30,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convertible notes fair value resulted in a loss of $1.2 million for the three months ended June 30, 2026, compared to a gain of $1.4 million for the three months ended June 30,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convertible notes fair value resulted in a loss of $2.2 million for the six months ended June 30, 2026, compared to a gain of $1.6 million for the six months ended June 30,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liabilities resulted in a gain of $181 thousand for the three months ended June 30, 2026, compared to a loss of $141 thousand for the three months ended June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liabilities resulted in a gain of $50 thousand for the six months ended June 30, 2026, compared to a loss of $103 thousand for the six months ended June 30,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$0.8 million for the three months ended June 30, 2026, compared to $0.7 million for the three months ended June 30, 2025, representing an increase of $0.1 million, or 12%. The increase was related to interest incurred from the Convertible Securities Notes.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$1.6 million for the six months ended June 30, 2026, compared to $1.4 million for the six months ended June 30, 2025, representing an increase of $0.2 million, or 15%. The increase was related to interest incurred from the Convertible Securities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$72 thousand for the three months ended June 30, 2026, compared to $102 thousand for the three months ended June 30, 2025, representing a decrease of $30 thousand, or 29%. The decrease was due to interest income on cash balances in an asset management account.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$179 thousand for the six months ended June 30, 2026, compared to $266 thousand for the six months ended June 30, 2025, representing a decrease of $87 thousand, or 33%. The decrease was due to interest income on cash balances in an asset management account.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(expense) income, net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expense, net was $69 thousand for the three months ended June 30, 2026, compared to other income, net of $102 thousand for the three months ended June 30, 2025, representing a decrease of $171 thousand. The decrease in other income was primarily attributable to foreign currency unrealized and realized loss.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income, net was $1 thousand for the six months ended June 30, 2026, compared to other income, net of $143 thousand for the six months ended June 30, 2025, representing a decrease of $142 thousand. The decrease in other income was primarily attributable to foreign currency unrealized and realized loss.</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 date, we have financed our operations primarily through the sale of equity securities, convertible promissory notes and an initial term loan advance of $3.0 million and a right to borrow a subsequent term loan advance of $2.0 million with Silicon Valley Bank (the “SVB Term Loan”). The loan with SVB was repaid in full in 2024. In connection with the closing of the Business Combination on July 31, 2024, we received net proceeds of $84.2 million. Since inception we have incurred operating losses and negative cash flows and anticipate continuing to do so for at least the next several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we had cash and cash equivalents of $7.7 million and $17.1 million, respectively, and current obligations consisting primarily of $0.7 million and $1.1 million of accounts payable, respectively, and $6.6 million and $7.0 million of accrued liabilities, respectively. For the six months ended June 30, 2026, net losses were $13.7 million. For the six months ended June 30, 2025, net losses were $11.7 million. For the six months ended June 30, 2026 and June 30, 2025, net cash used in operating activities was $9.4 million, and $11.9 million, respectively. We do not believe our existing cash and cash equivalents will be sufficient to fund operations for at least the next twelve months from the issuance date of the condensed consolidated financial statements included elsewhere in this Quarterly Report on Form 10-Q. We believe that this raises substantial doubt about our ability to continue as a going concern. See “—</w:t>
      </w:r>
      <w:r>
        <w:rPr>
          <w:rFonts w:ascii="Times New Roman;Times;serif" w:hAnsi="Times New Roman;Times;serif"/>
          <w:i/>
          <w:sz w:val="20"/>
        </w:rPr>
        <w:t>Going Concern and Operating Outlook</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intend to mitigate the conditions and events that raise substantial doubt about our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committed financing valued at $64.5 million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2024 PIPE Financing included:</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by certain Other PIPE Investors to purchase $2.5 million in Class A shares of ARYA in the open market and not to redeem such shares before the Closing, resulting in the issuance of 355,457 shares of our common stock and 299,902 warrants exercisable for shares of our common stock (the “Base Warrants”).</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by certain Other PIPE Investors that were shareholders of ARYA to not to redeem 247,700 Class A shares of ARYA, resulting in the issuance of 405,772 shares of our common stock and 343,756 Base Warrants.</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by certain Other PIPE Investors to purchase 1,036,666 shares of our common stock, 1,440,000 Base Warrants, and 670,000 pre-funded warrants for a cash investment of $12 million.</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44"/>
        <w:gridCol w:w="9737"/>
      </w:tblGrid>
      <w:tr>
        <w:trPr/>
        <w:tc>
          <w:tcPr>
            <w:tcW w:w="124" w:type="dxa"/>
            <w:tcBorders/>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of total $29.5 million in April 2023 Convertible Notes, November 2023 Convertible Notes, May 2024 Convertible Notes, June 2024 Convertible Notes, and July 2024 Convertible Notes (collectively, the “Bridge Financing Notes”), and accrued interest of $1.7 million by the Perceptive PIPE Investor. A total of 4,372,607 shares of our common stock and 3,540,000 units of Base Warrants were issued to settle the Bridge Financing Notes and the accrued and unpaid interest.</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cash investment of $15.9 million by the Perceptive PIPE Investor for a total of 2,250,352 shares of New Adagio Common Stock and 1,905,069 units of Base Warrants.</w:t>
            </w:r>
          </w:p>
        </w:tc>
      </w:tr>
    </w:tbl>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2025 PIPE Financing</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14, 2025, we entered into a Securities Purchase Agreement (the “Securities Purchase Agreement”) with certain accredited healthcare investors (the “Purchasers”) pursuant to which we issued and sold to the Purchasers in a private placement (the “Private Placement”): (i) 9,792,506 shares (the “Shares”) of our common stock, or pre-funded warrants (the “2025 PIPE Pre-Funded Warrants”) to purchase shares of our common stock in lieu thereof, and (ii) accompanying (a) Tranche A Warrants to purchase an aggregate of 6,012,943 shares of our common stock (or pre-funded warrants in lieu thereof) (the “Tranche A Warrants”), (b) Tranche B Warrants to purchase an aggregate of 6,012,943 shares of our common stock (or pre-funded warrants in lieu thereof) (the “Tranche B Warrants”) and (c) Tranche C Warrants to purchase an aggregate of 6,012,943 shares of our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us. Each Share and each 2025 PIPE Pre-Funded Warrant sold pursuant to the Securities Purchase Agreement was accompanied by one Tranche A Warrant, one Tranche B Warrant and one Tranche C Warrant. The combined purchase price of each Share and accompanying Milestone Warrants is $1.9403 (which includes $0.2303 for the Milestone Warrants sold with each Share in accordance with the rules and regulations of The Nasdaq Stock Market LLC). The combined purchase price of each 2025 PIPE Pre-Funded Warrant and accompanying Milestone Warrant is $1.9402 (equal to the combined purchase price per Share and accompanying Milestone Warrants, minus $0.0001). Entities affiliated with Perceptive Advisors LLC, an affiliate of ours, purchased 2025 PIPE Pre-Funded Warrants and Milestone Warrants for an aggregate purchase price of $4,250,000.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Milestone Warrant is exercisable for one share of our common stock at an exercise price of $1.71 per share. The Tranche A Warrants expired unexcised in May 2026. The Tranche B and Tranche C Warrants will expire upon the earlier of (i) five years from the date of issuance or (ii) (a) for the Tranche B Warrants, the date that is thirty (30) days following our announcement of FDA approval of our vCLAS Cryoablation System, and (b) for the Tranche C Warrants, the date that is thirty (30) days following our announcement of FDA approval of our second generation vCLAS catheter system. The 2025 PIPE Pre-Funded Warrants are exercisable for one share of our common stock at an exercise price of $0.0001 per share. The 2025 PIPE Pre-Funded Warrants are immediately exercisable and may be exercised at any time until all of the 2025 PIPE Pre-Funded Warrants are exercised in full.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2026, we announced six-month results from our FULCRUM-VT IDE pivotal clinical trial. Subsequently, the Tranche A Warrants expired unexercised in May 2026. As of June 30, 2026, the milestone events related to the Tranche B Warrants and Tranche C Warrants had not occurred, and the Tranche B Warrants and Tranche C Warrants remain outstanding. Following the expiration of the Tranche A Warrants, the remaining Milestone Warrants consist of the Tranche B Warrants and Tranche C Warrants, which are exercisable for an aggregate of 12,025,886 shares of our common stock. The Company may receive up to approximately $20.6 million of additional aggregate gross proceeds from the cash exercise in full of the remaining Milestone Warrants, if exercised in full; however, there can be no assurance that any such warrants will be exercised.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holder (together with its affiliates) of the 2025 PIPE Pre-Funded Warrants or Milestone Warrants, as the case may be, may not exercise any portion of the 2025 PIPE Pre-Funded Warrants or Milestone Warrants to the extent that the holder would own more than 4.99% (or, at the holder’s option upon issuance, 9.99%) of our outstanding common stock immediately after exercise, which percentage may be changed at the holder’s election to a lower or higher percentage not in excess of 19.99% upon 61 days’ notice to us subject to the terms of the 2025 PIPE Pre-Funded Warrants or the Milestone Warrants. In lieu of making the cash payment otherwise contemplated to be made to us upon exercise of a Milestone Warrant, after the deadline for effectiveness of the registration statement to be filed pursuant to the Registration Rights Agreement, the holder may elect instead to receive upon such exercise (either in whole or in part) the net number of shares of our common stock determined according to a formula set forth in the Milestone Warrants, provided that such cashless exercise shall only be permitted if, at the time of such exercise, there is no effective registration statement registering the resale of shares of our common stock underlying the Milestone Warrants or if the prospectus contained in such registration statement is not available for the resale of shares of our common stock underlying the Milestone Warrants by the Milestone Warrant holder.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lieu of making the cash payment otherwise contemplated to be made to us upon exercise of a 2025 PIPE Pre-Funded Warrant in payment of the aggregate exercise price, the holder may elect instead to receive upon such exercise (either in whole or in part) the net number of shares of our common stock determined according to a formula set forth in the 2025 PIPE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Refer to </w:t>
      </w:r>
      <w:r>
        <w:rPr>
          <w:rFonts w:ascii="Times New Roman;Times;serif" w:hAnsi="Times New Roman;Times;serif"/>
          <w:i/>
          <w:sz w:val="20"/>
        </w:rPr>
        <w:t>Note 9 - Warrants</w:t>
      </w:r>
      <w:r>
        <w:rPr>
          <w:rFonts w:ascii="Times New Roman;Times;serif" w:hAnsi="Times New Roman;Times;serif"/>
          <w:sz w:val="20"/>
        </w:rPr>
        <w:t>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uses of capital are, and we expect will continue to be, investment in clinical research and development, and related supplies, marketing and physician education, legal and other regulatory expenses, commercial activities, general administrative costs and working 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and cash equivalents will enable us to fund our ongoing development and submission activities to support FDA evaluation of our first generation ULTA products. We will require additional capital to fund continued clinical activities for our next-generation product, to fund our manufacturing activities, to fund commercial activities of our programs and for working capital and general corporate purposes. The assessment of our ability to meet our future obligations is inherently judgmental, subjective and susceptible to change. Based on our current research and development plans, we expect to have sufficient resources to fund our planned operations into the fourth quarter of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medical products, we are unable to estimate the exact amount of our operating capital requirements. Our future funding requirements will depend on many factors, including, but not limited to:</w:t>
      </w:r>
    </w:p>
    <w:p>
      <w:pPr>
        <w:pStyle w:val="TextBody"/>
        <w:bidi w:val="0"/>
        <w:spacing w:before="0" w:after="0"/>
        <w:ind w:left="0" w:right="0" w:firstLine="360"/>
        <w:jc w:val="both"/>
        <w:rPr/>
      </w:pPr>
      <w:r>
        <w:rPr/>
        <w: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revenue growth;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research and development efforts;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sales and marketing activities;</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ability to raise additional funds to finance our operations;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outcome, costs and timing of any clinical trial results for our current or future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emergence and effect of competing or complementary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availability and amount of reimbursement for procedures using our products;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retain our current employees and the need and ability to hire additional management and sales, scientific and medical personnel;</w:t>
            </w:r>
          </w:p>
        </w:tc>
      </w:tr>
    </w:tbl>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terms and timing of any collaborative, licensing or other arrangements that we have or may establish;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debt service requirements; and</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 xml:space="preserve">the extent to which we acquire or invest in businesses, products or technologies.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the section of this Report titled “Risk Factors” for additional risks associated with our substantial capital requirements.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$20.0 million Convertible Securities Notes are convertible into shares of the Company’s common stock at a conversion price of $10.00 per share, subject to adjustment per the terms of the agreement, and the 1,500,000 warrants, each of which are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summary of our cash flows for each of the periods shown below (in thousands):</w:t>
      </w:r>
    </w:p>
    <w:p>
      <w:pPr>
        <w:pStyle w:val="TextBody"/>
        <w:bidi w:val="0"/>
        <w:spacing w:before="0" w:after="0"/>
        <w:ind w:left="0" w:right="0" w:firstLine="360"/>
        <w:jc w:val="both"/>
        <w:rPr/>
      </w:pPr>
      <w:r>
        <w:rPr/>
        <w:t>​</w:t>
      </w:r>
    </w:p>
    <w:tbl>
      <w:tblPr>
        <w:tblW w:w="6497" w:type="dxa"/>
        <w:jc w:val="left"/>
        <w:tblInd w:w="0" w:type="dxa"/>
        <w:tblLayout w:type="fixed"/>
        <w:tblCellMar>
          <w:top w:w="0" w:type="dxa"/>
          <w:left w:w="0" w:type="dxa"/>
          <w:bottom w:w="0" w:type="dxa"/>
          <w:right w:w="0" w:type="dxa"/>
        </w:tblCellMar>
      </w:tblPr>
      <w:tblGrid>
        <w:gridCol w:w="4216"/>
        <w:gridCol w:w="109"/>
        <w:gridCol w:w="211"/>
        <w:gridCol w:w="691"/>
        <w:gridCol w:w="109"/>
        <w:gridCol w:w="109"/>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677160" cy="175260"/>
                      <wp:effectExtent l="0" t="0" r="0" b="0"/>
                      <wp:wrapNone/>
                      <wp:docPr id="236" name="Frame236"/>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8785" cy="175260"/>
                      <wp:effectExtent l="0" t="0" r="0" b="0"/>
                      <wp:wrapNone/>
                      <wp:docPr id="239" name="Frame2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34035" cy="175260"/>
                      <wp:effectExtent l="0" t="0" r="0" b="0"/>
                      <wp:wrapNone/>
                      <wp:docPr id="243" name="Frame2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1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currency translation on cash</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for the six months ended June 30, 2026 to the six months ended June 30,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$9.4 million, consisting primarily of a net loss of $13.7 million, adjusted by non-cash items of $3.4 million and net changes in operating assets and liabilities of $0.9 million. Non-cash items primarily consisted of $0.4 million in depreciation and amortization, $0.9 million in stock-based compensation, $2.2 million from the change in fair value of convertible notes payable, and $50 thousand from the change in fair value of warrant liabilities. Changes in operating assets and liabilities included a $1.6 million increase in other accrued liabilities and a $0.3 million decrease in prepaid expenses and other current assets, partially offset by a $0.3 million increase in inventory, a $0.4 million decrease in accrued liabilities, and a $0.4 million decrease in accounts payable.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was $11.9 million, consisting primarily of a net loss of $11.7 million, adjusted by non-cash items of $0.5 million and net changes in operating assets and liabilities of $0.3 million. Non-cash items primarily consisted of $0.5 million in depreciation and amortization, $0.5 million in stock-based compensation, partially offset by a $1.6 million net gain from the change in fair value of convertible notes payable. Changes in operating assets and liabilities included a $1.5 million decrease in accounts payable and a $0.3 million decrease in accrued liabilities, partially offset by a $0.8 million decrease in inventory and a $1.4 million increase in other accrued liabilities.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Used in Investing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and the six months ended June 30, 2025 was $8 thousand and $0.3 million, respectively. The decrease in cash used in investing activities was due to the decrease in purchases of property and equipment.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Provided by (Used in) Financing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(used in) financing activities for the six months ended June 30, 2026 and 2025 was nil.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estimates and assumptions that affect the amounts reported in our condensed consolidated financial statements and accompanying notes included elsewhere in this Report.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Accordingly, the accounting estimates used in the preparation of our condensed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condensed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an ongoing basis, we evaluate our estimates and assumptions. Our actual results may differ from these estimates under different assumptions or conditions.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there have been no material changes to our critical accounting policies from those disclosed in Part II, Item 7, “Management’s Discussion and Analysis of Financial Condition and Results of Operations” of the 2025 Annual Report.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 and Smaller Reporting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exception from compliance with the auditor attestation requirements of Section 404 of the Sarbanes-Oxley Act of 2002, as amended;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reduced disclosure about our executive compensation arrangements in our periodic reports, proxy statements and registration statements;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exemptions from the requirements of holding non-binding advisory votes on executive compensation or golden parachute arrangements;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0"/>
        <w:ind w:left="144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will remain an EGC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2 - Summary of Significant Accounting Policies</w:t>
      </w:r>
      <w:r>
        <w:rPr>
          <w:rFonts w:ascii="Times New Roman;Times;serif" w:hAnsi="Times New Roman;Times;serif"/>
          <w:sz w:val="20"/>
        </w:rPr>
        <w:t xml:space="preserve"> in our condensed consolidated financial statements included elsewhere in this Report for a description of recent accounting pronouncements applicable to our financial statements.</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143" w:name="Item3QuantitativeandQualitativeDisclosur"/>
      <w:bookmarkStart w:id="1144" w:name="_03cbaa46_6b40_4206_8742_ca3fb7a01911"/>
      <w:bookmarkEnd w:id="1143"/>
      <w:bookmarkEnd w:id="114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5" w:name="Item4ControlsandProcedures_352413"/>
      <w:bookmarkStart w:id="1146" w:name="_1009af24_f87d_4eb2_a56f_ca2097b9c231"/>
      <w:bookmarkEnd w:id="1145"/>
      <w:bookmarkEnd w:id="114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7" w:name="PARTIIOTHERINFORMATION_699286"/>
      <w:bookmarkStart w:id="1148" w:name="_0de680b0_c1c5_4829_96bb_6dbf1b120b1c"/>
      <w:bookmarkEnd w:id="1147"/>
      <w:bookmarkEnd w:id="114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1149" w:name="Item1_184970"/>
      <w:bookmarkEnd w:id="1149"/>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1150" w:name="Item1A_807724"/>
      <w:bookmarkStart w:id="1151" w:name="_0bcf1392_808b_4dc6_b9c3_f4935f6ddb76"/>
      <w:bookmarkStart w:id="1152" w:name="risk"/>
      <w:bookmarkEnd w:id="1150"/>
      <w:bookmarkEnd w:id="1151"/>
      <w:bookmarkEnd w:id="1152"/>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there have been no material changes from the risk factors disclosed in Part I, Item 1A. “Risk Factors” of our Annual Report on Form 10-K filed with the SEC on March 27, 2026 (the “2025 Annual Report”). The risk factors described in our 2025 Annual Report, as well as other information set forth in this Report, could materially adversely affect our business, financial condition, results of operations and prospects, and should be carefully considered. The risks and uncertainties that we face, however, are not limited to those described in the 2025 Annual Report. Additional risks and uncertainties not presently known to us or that we currently believe to be immaterial may also adversely affect our business and the trading price of our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medical device company that has incurred net losses in every period to date and expect to continue to incur significant losses as we develop our business, and our financial conditions raise substantial doubt about our ability to continue as a going concern.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main platform technology, vCLAS. We cannot be certain if we will ever generate meaningful revenue or if or when we will produce sufficient revenue from operations to support our costs. Even if profitability is achieved, we may not be able to sustain profitability. We incurred net losses of $13.7 million for the six months ended June 30, 2026, and $25.1 million and $75.0 million in 2025 and 2024, respectively. As of June 30, 2026, December 31, 2025 and December 31, 2024, we had an accumulated deficit of $109.4 million, $95.6 million and $70.6 million, respectively. We expect to incur substantial losses and negative cash flows for the foreseeable future. In addition, as a public company, we incur significant legal, accounting, and other expenses that we did not incur as a private company. These increased expenses may make it harder for us to achieve and sustain future profitability. We may incur significant losses in the future for a number of reasons, many of which are beyond our control, including the other risks described in this report and in our other filings with the SEC. Even if we achieve profitability, we may not be able to sustain or increase profitability on a quarterly or annual basis. Our failure to become and remain profitable could depress the value of our company and could impair our ability to raise capital, expand our business, maintain our development efforts, obtain regulatory approvals or certificates, diversify our product offerings or continue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independent auditors have included an explanatory paragraph in their audit report regarding our ability to continue as a going concern. 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our financial condition, results of operations, and business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actively pursuing strategies to mitigate these risks, however, there can be no assurance that these efforts will prove successful or that we will achieve our intended financial stability. The failure to successfully address these going concern risks may materially and adversely affect our business, financial condition, and results of operations. Investors should consider the substantial risks and uncertainties inherent in our business before investing in our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Regulatory and Legal Compliance Matters</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business could be negatively impacted by changes in the United States political environment.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changes in the political and regulatory landscape, policies, or processes, could significantly affect our business. Specific legislative and regulatory proposals discussed during election campaigns and more recently that might materially impact our business include, but are not limited to, promoting access to healthcare via market competition and pricing transparency, enhancing flexibility and choice in healthcare at the state and individual level, prioritizing domestic production and increasing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 For example, the Bureau of Industry and Security, U.S. Department of Commerce, has initiated an investigation to determine whether medical devices, including their components and accessories, manufactured outside the United States pose a national security risk and should be subject to additional tariffs. In addition, the current administration also has issued, and is expected to continue relying upon, Executive Orders to address a wide range of policy areas, some of which may impact our business.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Ownership of Our Securities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12, 2026, we received a letter from Nasdaq, notifying us that the listing of our common stock was not in compliance with the Minimum Bid Price Requirement. In accordance with Nasdaq Listing Rule 5810(c)(3)(A) we were provided an initial period of 180 calendar days, or until December 9, 2026, to regain compliance with the Minimum Bid Price Requirement. If, at any time before December 9, 2026, the bid price for our common stock closes at $1.00 or more for a minimum of 10 consecutive business days, we will regain compliance with the bid price requirement, unless Nasdaq staff exercises its discretion to extend this 10-day period pursuant to Nasdaq rules.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can be no assurance that we will regain compliance with the requirements for listing our common stock on Nasdaq. 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153" w:name="Item2UnregisteredSalesofEquity_747415"/>
      <w:bookmarkStart w:id="1154" w:name="_93e3ec73_acfe_4961_b6dc_ad17e5e50b64"/>
      <w:bookmarkEnd w:id="1153"/>
      <w:bookmarkEnd w:id="1154"/>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 from Registered Securities.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155" w:name="Item3DefaultsuponSeniorSecurities_12800"/>
      <w:bookmarkStart w:id="1156" w:name="_89858689_f022_4bb0_b77a_8d0c2ffc8f72"/>
      <w:bookmarkEnd w:id="1155"/>
      <w:bookmarkEnd w:id="1156"/>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40"/>
        <w:ind w:left="0" w:right="0" w:hanging="0"/>
        <w:jc w:val="left"/>
        <w:rPr>
          <w:rFonts w:ascii="Times New Roman;Times;serif" w:hAnsi="Times New Roman;Times;serif"/>
          <w:sz w:val="20"/>
        </w:rPr>
      </w:pPr>
      <w:bookmarkStart w:id="1157" w:name="Item4MineSafetyDisclosures_857010"/>
      <w:bookmarkStart w:id="1158" w:name="_b873c375_a459_4db3_bba5_07ba7bfd30a0"/>
      <w:bookmarkEnd w:id="1157"/>
      <w:bookmarkEnd w:id="1158"/>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59" w:name="Item5OtherInformation_402779"/>
      <w:bookmarkStart w:id="1160" w:name="_d454221c_d663_4831_9a07_46bd25220809"/>
      <w:bookmarkEnd w:id="1159"/>
      <w:bookmarkEnd w:id="1160"/>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three months ended June 30, 2026</w:t>
      </w:r>
      <w:r>
        <w:rPr>
          <w:rFonts w:ascii="Times New Roman;Times;serif" w:hAnsi="Times New Roman;Times;serif"/>
          <w:sz w:val="20"/>
        </w:rPr>
        <w:t xml:space="preserve">, no director or officer of the Company adopted or terminated a “Rule 10b5-1 trading </w:t>
      </w:r>
      <w:r>
        <w:rPr>
          <w:rFonts w:ascii="Times New Roman;Times;serif" w:hAnsi="Times New Roman;Times;serif"/>
          <w:sz w:val="20"/>
          <w:shd w:fill="FFFFFF" w:val="clear"/>
        </w:rPr>
        <w:t>arrangement</w:t>
      </w:r>
      <w:r>
        <w:rPr>
          <w:rFonts w:ascii="Times New Roman;Times;serif" w:hAnsi="Times New Roman;Times;serif"/>
          <w:sz w:val="20"/>
        </w:rPr>
        <w:t>” or “non-Rule 10b5-1 trading arrangement,” as each term is defined in Item 408(a) of Regulation S-K.</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161" w:name="Item6Exhibits_682725"/>
      <w:bookmarkStart w:id="1162" w:name="_5232fdc7_347d_4276_9e36_c5ebc02a3955"/>
      <w:bookmarkEnd w:id="1161"/>
      <w:bookmarkEnd w:id="116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exhibits are either filed or furnished with, or incorporated by reference into, this Quarterly Report on Form 10-Q. </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28" w:type="dxa"/>
          <w:right w:w="0" w:type="dxa"/>
        </w:tblCellMar>
      </w:tblPr>
      <w:tblGrid>
        <w:gridCol w:w="652"/>
        <w:gridCol w:w="346"/>
        <w:gridCol w:w="9207"/>
      </w:tblGrid>
      <w:tr>
        <w:trPr/>
        <w:tc>
          <w:tcPr>
            <w:tcW w:w="65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920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65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Business Combination Agreement, dated as of February 13, 2024, by and among Aja HoldCo, Inc., ARYA Sciences Acquisition Corp IV, Aja Merger Sub 1, Aja Merger Sub 2, Inc. and Adagio Medical, Inc. (incorporated by reference to Exhibit 2.1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Consent and Amendment No. 1 to the Business Combination Agreement, dated as of June 25, 2024, by and among ARYA Sciences Acquisition Corp IV and Adagio Medical, Inc. (incorporated by reference to Exhibit 2.2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w:anchor="adgm-20260630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r>
              <w:rPr>
                <w:rFonts w:ascii="Times New Roman;Times;serif" w:hAnsi="Times New Roman;Times;serif"/>
                <w:sz w:val="20"/>
              </w:rPr>
              <w: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w:anchor="adgm-20260630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w:anchor="adgm-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sz w:val="20"/>
              </w:rPr>
              <w: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pPr>
            <w:hyperlink w:anchor="adgm-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20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for the cover page of this Quarterly Report on Form 10-Q, included in the Exhibit 101 Inline XBRL Document Set.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63" w:name="SIGNATURES_342629"/>
      <w:bookmarkStart w:id="1164" w:name="_f84306ca_1256_4db9_a5ff_4d747e07956b"/>
      <w:bookmarkEnd w:id="1163"/>
      <w:bookmarkEnd w:id="1164"/>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Pursuant</w:t>
      </w:r>
      <w:r>
        <w:rPr>
          <w:rFonts w:ascii="Times New Roman;Times;serif" w:hAnsi="Times New Roman;Times;serif"/>
          <w:sz w:val="20"/>
        </w:rPr>
        <w:t xml:space="preserve"> to the requirements of the Securities Exchange Act of 1934, the registrant has duly caused this Quarterly Report on Form 10-Q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891"/>
        <w:gridCol w:w="628"/>
        <w:gridCol w:w="768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00785" cy="175260"/>
                      <wp:effectExtent l="0" t="0" r="0" b="0"/>
                      <wp:wrapNone/>
                      <wp:docPr id="244" name="Frame24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98780" cy="175260"/>
                      <wp:effectExtent l="0" t="0" r="0" b="0"/>
                      <wp:wrapNone/>
                      <wp:docPr id="245" name="Frame245"/>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880610" cy="175260"/>
                      <wp:effectExtent l="0" t="0" r="0" b="0"/>
                      <wp:wrapNone/>
                      <wp:docPr id="246" name="Frame246"/>
                      <a:graphic xmlns:a="http://schemas.openxmlformats.org/drawingml/2006/main">
                        <a:graphicData uri="http://schemas.microsoft.com/office/word/2010/wordprocessingShape">
                          <wps:wsp>
                            <wps:cNvSpPr txBox="1"/>
                            <wps:spPr>
                              <a:xfrm>
                                <a:off x="0" y="0"/>
                                <a:ext cx="488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768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831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768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628" w:type="dxa"/>
            <w:tcBorders/>
            <w:vAlign w:val="center"/>
          </w:tcPr>
          <w:p>
            <w:pPr>
              <w:pStyle w:val="TableContents"/>
              <w:bidi w:val="0"/>
              <w:spacing w:before="0" w:after="0"/>
              <w:ind w:left="0" w:right="0" w:hanging="0"/>
              <w:jc w:val="left"/>
              <w:rPr/>
            </w:pPr>
            <w:r>
              <w:rPr/>
              <w:t>​</w:t>
            </w:r>
          </w:p>
        </w:tc>
        <w:tc>
          <w:tcPr>
            <w:tcW w:w="768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68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pPr>
            <w:r>
              <w:rPr/>
              <w:t>​</w:t>
            </w:r>
          </w:p>
        </w:tc>
        <w:tc>
          <w:tcPr>
            <w:tcW w:w="768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628" w:type="dxa"/>
            <w:tcBorders/>
            <w:vAlign w:val="center"/>
          </w:tcPr>
          <w:p>
            <w:pPr>
              <w:pStyle w:val="TableContents"/>
              <w:bidi w:val="0"/>
              <w:spacing w:before="0" w:after="0"/>
              <w:ind w:left="0" w:right="0" w:hanging="0"/>
              <w:jc w:val="left"/>
              <w:rPr/>
            </w:pPr>
            <w:r>
              <w:rPr/>
              <w:t>​</w:t>
            </w:r>
          </w:p>
        </w:tc>
        <w:tc>
          <w:tcPr>
            <w:tcW w:w="768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68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1891"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 (</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right"/>
        <w:rPr>
          <w:rFonts w:ascii="Times New Roman;Times;serif" w:hAnsi="Times New Roman;Times;serif"/>
          <w:b/>
          <w:sz w:val="22"/>
        </w:rPr>
      </w:pPr>
      <w:bookmarkStart w:id="1165" w:name="adgm-20260630xex31d1.htm"/>
      <w:bookmarkStart w:id="1166" w:name="ksadgm20260630xex31d1"/>
      <w:bookmarkEnd w:id="1165"/>
      <w:bookmarkEnd w:id="1166"/>
      <w:r>
        <w:rPr>
          <w:rFonts w:ascii="Times New Roman;Times;serif" w:hAnsi="Times New Roman;Times;serif"/>
          <w:b/>
          <w:sz w:val="22"/>
        </w:rPr>
        <w:t>Exhibit 31.1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Todd Usen, certify that:</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1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June 30, 2026, of Adagio Medical Holdings,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16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5568" w:type="dxa"/>
        <w:jc w:val="left"/>
        <w:tblInd w:w="0" w:type="dxa"/>
        <w:tblLayout w:type="fixed"/>
        <w:tblCellMar>
          <w:top w:w="0" w:type="dxa"/>
          <w:left w:w="0" w:type="dxa"/>
          <w:bottom w:w="0" w:type="dxa"/>
          <w:right w:w="0" w:type="dxa"/>
        </w:tblCellMar>
      </w:tblPr>
      <w:tblGrid>
        <w:gridCol w:w="1951"/>
        <w:gridCol w:w="451"/>
        <w:gridCol w:w="316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38885" cy="29210"/>
                      <wp:effectExtent l="0" t="0" r="0" b="0"/>
                      <wp:wrapNone/>
                      <wp:docPr id="247" name="Frame247"/>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86385" cy="29210"/>
                      <wp:effectExtent l="0" t="0" r="0" b="0"/>
                      <wp:wrapNone/>
                      <wp:docPr id="248" name="Frame248"/>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10410" cy="29210"/>
                      <wp:effectExtent l="0" t="0" r="0" b="0"/>
                      <wp:wrapNone/>
                      <wp:docPr id="249" name="Frame249"/>
                      <a:graphic xmlns:a="http://schemas.openxmlformats.org/drawingml/2006/main">
                        <a:graphicData uri="http://schemas.microsoft.com/office/word/2010/wordprocessingShape">
                          <wps:wsp>
                            <wps:cNvSpPr txBox="1"/>
                            <wps:spPr>
                              <a:xfrm>
                                <a:off x="0" y="0"/>
                                <a:ext cx="2010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and Chief Executive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67" w:name="adgm-20260630xex31d2.htm"/>
      <w:bookmarkStart w:id="1168" w:name="ksadgm20260630xex31d2"/>
      <w:bookmarkEnd w:id="1167"/>
      <w:bookmarkEnd w:id="1168"/>
      <w:r>
        <w:rPr>
          <w:rFonts w:ascii="Times New Roman;Times;serif" w:hAnsi="Times New Roman;Times;serif"/>
          <w:b/>
          <w:sz w:val="22"/>
        </w:rPr>
        <w:t>Exhibit 31.2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Deborah Kaster, certify that:</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1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June 30, 2026, of Adagio Medical Holdings,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6573" w:type="dxa"/>
        <w:jc w:val="left"/>
        <w:tblInd w:w="0" w:type="dxa"/>
        <w:tblLayout w:type="fixed"/>
        <w:tblCellMar>
          <w:top w:w="0" w:type="dxa"/>
          <w:left w:w="0" w:type="dxa"/>
          <w:bottom w:w="0" w:type="dxa"/>
          <w:right w:w="0" w:type="dxa"/>
        </w:tblCellMar>
      </w:tblPr>
      <w:tblGrid>
        <w:gridCol w:w="1951"/>
        <w:gridCol w:w="406"/>
        <w:gridCol w:w="42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38885" cy="29210"/>
                      <wp:effectExtent l="0" t="0" r="0" b="0"/>
                      <wp:wrapNone/>
                      <wp:docPr id="250" name="Frame250"/>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57810" cy="29210"/>
                      <wp:effectExtent l="0" t="0" r="0" b="0"/>
                      <wp:wrapNone/>
                      <wp:docPr id="251" name="Frame25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77160" cy="29210"/>
                      <wp:effectExtent l="0" t="0" r="0" b="0"/>
                      <wp:wrapNone/>
                      <wp:docPr id="252" name="Frame252"/>
                      <a:graphic xmlns:a="http://schemas.openxmlformats.org/drawingml/2006/main">
                        <a:graphicData uri="http://schemas.microsoft.com/office/word/2010/wordprocessingShape">
                          <wps:wsp>
                            <wps:cNvSpPr txBox="1"/>
                            <wps:spPr>
                              <a:xfrm>
                                <a:off x="0" y="0"/>
                                <a:ext cx="2677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69" w:name="adgm-20260630xex32d1.htm"/>
      <w:bookmarkStart w:id="1170" w:name="ksadgm20260630xex32d1"/>
      <w:bookmarkEnd w:id="1169"/>
      <w:bookmarkEnd w:id="1170"/>
      <w:r>
        <w:rPr>
          <w:rFonts w:ascii="Times New Roman;Times;serif" w:hAnsi="Times New Roman;Times;serif"/>
          <w:b/>
          <w:sz w:val="22"/>
        </w:rPr>
        <w:t>Exhibit 32.1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(the “Company”) for the quarter ended June 30, 2026 as filed with the Securities and Exchange Commission on the date hereof (the “Quarterly Report”), I, Todd Usen, Chief Executive Officer of the Company, hereby certify, pursuant to 18 U.S.C. § 1350, as adopted pursuant to §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5523" w:type="dxa"/>
        <w:jc w:val="left"/>
        <w:tblInd w:w="0" w:type="dxa"/>
        <w:tblLayout w:type="fixed"/>
        <w:tblCellMar>
          <w:top w:w="0" w:type="dxa"/>
          <w:left w:w="0" w:type="dxa"/>
          <w:bottom w:w="0" w:type="dxa"/>
          <w:right w:w="0" w:type="dxa"/>
        </w:tblCellMar>
      </w:tblPr>
      <w:tblGrid>
        <w:gridCol w:w="1951"/>
        <w:gridCol w:w="406"/>
        <w:gridCol w:w="316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38885" cy="175260"/>
                      <wp:effectExtent l="0" t="0" r="0" b="0"/>
                      <wp:wrapNone/>
                      <wp:docPr id="253" name="Frame25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57810" cy="175260"/>
                      <wp:effectExtent l="0" t="0" r="0" b="0"/>
                      <wp:wrapNone/>
                      <wp:docPr id="254" name="Frame25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10410" cy="175260"/>
                      <wp:effectExtent l="0" t="0" r="0" b="0"/>
                      <wp:wrapNone/>
                      <wp:docPr id="255" name="Frame25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and Chief Executive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71" w:name="adgm-20260630xex32d2.htm"/>
      <w:bookmarkStart w:id="1172" w:name="ksadgm20260630xex32d2"/>
      <w:bookmarkEnd w:id="1171"/>
      <w:bookmarkEnd w:id="1172"/>
      <w:r>
        <w:rPr>
          <w:rFonts w:ascii="Times New Roman;Times;serif" w:hAnsi="Times New Roman;Times;serif"/>
          <w:b/>
          <w:sz w:val="22"/>
        </w:rPr>
        <w:t>Exhibit 32.2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(the “Company”) for the quarter ended June 30, 2026 as filed with the Securities and Exchange Commission on the date hereof (the “Quarterly Report”), I, Deborah Kaster, Chief Financial Officer of the Company, hereby certify, pursuant to 18 U.S.C. § 1350, as adopted pursuant to §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6573" w:type="dxa"/>
        <w:jc w:val="left"/>
        <w:tblInd w:w="0" w:type="dxa"/>
        <w:tblLayout w:type="fixed"/>
        <w:tblCellMar>
          <w:top w:w="0" w:type="dxa"/>
          <w:left w:w="0" w:type="dxa"/>
          <w:bottom w:w="0" w:type="dxa"/>
          <w:right w:w="0" w:type="dxa"/>
        </w:tblCellMar>
      </w:tblPr>
      <w:tblGrid>
        <w:gridCol w:w="1951"/>
        <w:gridCol w:w="406"/>
        <w:gridCol w:w="42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38885" cy="175260"/>
                      <wp:effectExtent l="0" t="0" r="0" b="0"/>
                      <wp:wrapNone/>
                      <wp:docPr id="256" name="Frame25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7810" cy="175260"/>
                      <wp:effectExtent l="0" t="0" r="0" b="0"/>
                      <wp:wrapNone/>
                      <wp:docPr id="257" name="Frame2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677160" cy="175260"/>
                      <wp:effectExtent l="0" t="0" r="0" b="0"/>
                      <wp:wrapNone/>
                      <wp:docPr id="258" name="Frame25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New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986/000114036124035942/ef20033584_ex2-1.htm" TargetMode="External"/><Relationship Id="rId3" Type="http://schemas.openxmlformats.org/officeDocument/2006/relationships/hyperlink" Target="https://www.sec.gov/Archives/edgar/data/2006986/000114036124035942/ef20033584_ex2-2.htm" TargetMode="External"/><Relationship Id="rId4" Type="http://schemas.openxmlformats.org/officeDocument/2006/relationships/hyperlink" Target="https://www.sec.gov/Archives/edgar/data/2006986/000114036124035942/ef20033584_ex3-1.htm" TargetMode="External"/><Relationship Id="rId5" Type="http://schemas.openxmlformats.org/officeDocument/2006/relationships/hyperlink" Target="https://www.sec.gov/Archives/edgar/data/2006986/000114036124035942/ef20033584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29126</Words>
  <Characters>160586</Characters>
  <CharactersWithSpaces>190948</CharactersWithSpaces>
  <Paragraphs>5275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